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11F1C">
      <w:pPr>
        <w:keepNext w:val="0"/>
        <w:keepLines w:val="0"/>
        <w:pageBreakBefore w:val="0"/>
        <w:widowControl/>
        <w:shd w:val="clear" w:color="auto" w:fill="FFFFFF"/>
        <w:kinsoku/>
        <w:wordWrap/>
        <w:overflowPunct/>
        <w:topLinePunct w:val="0"/>
        <w:autoSpaceDE/>
        <w:autoSpaceDN/>
        <w:bidi w:val="0"/>
        <w:adjustRightInd/>
        <w:spacing w:after="150" w:line="360" w:lineRule="auto"/>
        <w:ind w:left="480" w:firstLine="723" w:firstLineChars="200"/>
        <w:jc w:val="both"/>
        <w:textAlignment w:val="auto"/>
        <w:rPr>
          <w:rStyle w:val="9"/>
          <w:rFonts w:hint="eastAsia" w:ascii="微软雅黑" w:hAnsi="微软雅黑" w:eastAsia="微软雅黑" w:cs="微软雅黑"/>
          <w:bCs/>
          <w:color w:val="000000"/>
          <w:kern w:val="0"/>
          <w:sz w:val="28"/>
          <w:szCs w:val="28"/>
          <w:shd w:val="clear" w:color="auto" w:fill="FFFFFF"/>
          <w:lang w:bidi="ar"/>
        </w:rPr>
      </w:pPr>
      <w:bookmarkStart w:id="0" w:name="_GoBack"/>
      <w:bookmarkEnd w:id="0"/>
      <w:r>
        <w:rPr>
          <w:rStyle w:val="9"/>
          <w:rFonts w:ascii="宋体" w:hAnsi="宋体" w:cs="宋体"/>
          <w:bCs/>
          <w:color w:val="000000"/>
          <w:kern w:val="0"/>
          <w:sz w:val="36"/>
          <w:szCs w:val="36"/>
          <w:shd w:val="clear" w:color="auto" w:fill="FFFFFF"/>
          <w:lang w:bidi="ar"/>
        </w:rPr>
        <w:t>2026</w:t>
      </w:r>
      <w:r>
        <w:rPr>
          <w:rStyle w:val="9"/>
          <w:rFonts w:hint="eastAsia" w:ascii="宋体" w:hAnsi="宋体" w:cs="宋体"/>
          <w:bCs/>
          <w:color w:val="000000"/>
          <w:kern w:val="0"/>
          <w:sz w:val="36"/>
          <w:szCs w:val="36"/>
          <w:shd w:val="clear" w:color="auto" w:fill="FFFFFF"/>
          <w:lang w:bidi="ar"/>
        </w:rPr>
        <w:t>集成电路制造微专业</w:t>
      </w:r>
      <w:r>
        <w:rPr>
          <w:rStyle w:val="9"/>
          <w:rFonts w:ascii="宋体" w:hAnsi="宋体" w:cs="宋体"/>
          <w:bCs/>
          <w:color w:val="000000"/>
          <w:kern w:val="0"/>
          <w:sz w:val="36"/>
          <w:szCs w:val="36"/>
          <w:shd w:val="clear" w:color="auto" w:fill="FFFFFF"/>
          <w:lang w:bidi="ar"/>
        </w:rPr>
        <w:t>招生简章</w:t>
      </w:r>
    </w:p>
    <w:p w14:paraId="58232859">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Style w:val="9"/>
          <w:rFonts w:hint="eastAsia" w:ascii="微软雅黑" w:hAnsi="微软雅黑" w:eastAsia="微软雅黑" w:cs="微软雅黑"/>
          <w:bCs/>
          <w:color w:val="FF0000"/>
          <w:kern w:val="0"/>
          <w:sz w:val="28"/>
          <w:szCs w:val="28"/>
          <w:shd w:val="clear" w:color="auto" w:fill="FFFFFF"/>
          <w:lang w:bidi="ar"/>
        </w:rPr>
      </w:pPr>
      <w:r>
        <w:rPr>
          <w:rFonts w:ascii="微软雅黑" w:hAnsi="微软雅黑" w:eastAsia="微软雅黑" w:cs="微软雅黑"/>
          <w:b/>
          <w:color w:val="333333"/>
          <w:sz w:val="28"/>
        </w:rPr>
        <w:t>一、 微专业简介</w:t>
      </w:r>
    </w:p>
    <w:p w14:paraId="57CFBA7E">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textAlignment w:val="auto"/>
        <w:rPr>
          <w:rStyle w:val="9"/>
          <w:rFonts w:hint="eastAsia" w:ascii="微软雅黑" w:hAnsi="微软雅黑" w:eastAsia="微软雅黑" w:cs="微软雅黑"/>
          <w:bCs/>
          <w:color w:val="FF0000"/>
          <w:kern w:val="0"/>
          <w:sz w:val="24"/>
          <w:shd w:val="clear" w:color="auto" w:fill="FFFFFF"/>
          <w:lang w:bidi="ar"/>
        </w:rPr>
      </w:pPr>
      <w:r>
        <w:rPr>
          <w:rFonts w:hint="eastAsia" w:ascii="仿宋" w:hAnsi="仿宋" w:eastAsia="仿宋" w:cs="仿宋"/>
          <w:color w:val="000000"/>
          <w:sz w:val="28"/>
        </w:rPr>
        <w:t>集成电路制造微专业</w:t>
      </w:r>
      <w:r>
        <w:rPr>
          <w:rFonts w:ascii="仿宋" w:hAnsi="仿宋" w:eastAsia="仿宋" w:cs="仿宋"/>
          <w:color w:val="000000"/>
          <w:sz w:val="28"/>
        </w:rPr>
        <w:t>紧密对接国家集成电路产业战略及地方晶圆制造产业发展需求，依托集成电路晶圆制造领域的产业基础和工程资源，提供</w:t>
      </w:r>
      <w:r>
        <w:rPr>
          <w:rFonts w:hint="eastAsia" w:ascii="仿宋" w:hAnsi="仿宋" w:eastAsia="仿宋" w:cs="仿宋"/>
          <w:color w:val="000000"/>
          <w:sz w:val="28"/>
        </w:rPr>
        <w:t>5</w:t>
      </w:r>
      <w:r>
        <w:rPr>
          <w:rFonts w:ascii="仿宋" w:hAnsi="仿宋" w:eastAsia="仿宋" w:cs="仿宋"/>
          <w:color w:val="000000"/>
          <w:sz w:val="28"/>
        </w:rPr>
        <w:t>门“小而精”的产教融合课程，分别为集成电路导论、集成电路装备概论、</w:t>
      </w:r>
      <w:r>
        <w:rPr>
          <w:rFonts w:hint="eastAsia" w:ascii="仿宋" w:hAnsi="仿宋" w:eastAsia="仿宋" w:cs="仿宋"/>
          <w:color w:val="000000"/>
          <w:sz w:val="28"/>
        </w:rPr>
        <w:t>半导体材料制备与掺杂技术</w:t>
      </w:r>
      <w:r>
        <w:rPr>
          <w:rFonts w:ascii="仿宋" w:hAnsi="仿宋" w:eastAsia="仿宋" w:cs="仿宋"/>
          <w:color w:val="000000"/>
          <w:sz w:val="28"/>
        </w:rPr>
        <w:t>、</w:t>
      </w:r>
      <w:r>
        <w:rPr>
          <w:rFonts w:hint="eastAsia" w:ascii="仿宋" w:hAnsi="仿宋" w:eastAsia="仿宋" w:cs="仿宋"/>
          <w:color w:val="000000"/>
          <w:sz w:val="28"/>
        </w:rPr>
        <w:t>图形化与平坦化及互连技术</w:t>
      </w:r>
      <w:r>
        <w:rPr>
          <w:rFonts w:ascii="仿宋" w:hAnsi="仿宋" w:eastAsia="仿宋" w:cs="仿宋"/>
          <w:color w:val="000000"/>
          <w:sz w:val="28"/>
        </w:rPr>
        <w:t>，共1</w:t>
      </w:r>
      <w:r>
        <w:rPr>
          <w:rFonts w:hint="eastAsia" w:ascii="仿宋" w:hAnsi="仿宋" w:eastAsia="仿宋" w:cs="仿宋"/>
          <w:color w:val="000000"/>
          <w:sz w:val="28"/>
        </w:rPr>
        <w:t>0</w:t>
      </w:r>
      <w:r>
        <w:rPr>
          <w:rFonts w:ascii="仿宋" w:hAnsi="仿宋" w:eastAsia="仿宋" w:cs="仿宋"/>
          <w:color w:val="000000"/>
          <w:sz w:val="28"/>
        </w:rPr>
        <w:t>学分，修读年限为1年。本微专业旨在培养学生系统掌握晶圆制造前道工艺及后道互联流程，熟悉工艺仿真、薄膜沉积、掺杂调控、外延生长、光刻刻蚀、CMP与互联等关键环节的基本原理、设备架构及工程实践方法，使其能够深入了解集成电路工艺开发、制程整合、设备工艺应用、生产技术支持及质量管理等领域，为未来学生前往集成电路制造领域就业或深造打下坚实的基础。</w:t>
      </w:r>
    </w:p>
    <w:p w14:paraId="57325DA5">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Style w:val="9"/>
          <w:rFonts w:hint="eastAsia" w:ascii="微软雅黑" w:hAnsi="微软雅黑" w:eastAsia="微软雅黑" w:cs="微软雅黑"/>
          <w:bCs/>
          <w:color w:val="333333"/>
          <w:kern w:val="0"/>
          <w:sz w:val="28"/>
          <w:szCs w:val="28"/>
          <w:shd w:val="clear" w:color="auto" w:fill="FFFFFF"/>
          <w:lang w:bidi="ar"/>
        </w:rPr>
      </w:pPr>
      <w:r>
        <w:rPr>
          <w:rStyle w:val="9"/>
          <w:rFonts w:ascii="微软雅黑" w:hAnsi="微软雅黑" w:eastAsia="微软雅黑" w:cs="微软雅黑"/>
          <w:bCs/>
          <w:color w:val="333333"/>
          <w:kern w:val="0"/>
          <w:sz w:val="28"/>
          <w:szCs w:val="28"/>
          <w:shd w:val="clear" w:color="auto" w:fill="FFFFFF"/>
          <w:lang w:bidi="ar"/>
        </w:rPr>
        <w:t>二、 培养目标</w:t>
      </w:r>
    </w:p>
    <w:p w14:paraId="423F7608">
      <w:pPr>
        <w:keepNext w:val="0"/>
        <w:keepLines w:val="0"/>
        <w:pageBreakBefore w:val="0"/>
        <w:widowControl/>
        <w:shd w:val="clear" w:color="auto" w:fill="FFFFFF"/>
        <w:kinsoku/>
        <w:wordWrap/>
        <w:overflowPunct/>
        <w:topLinePunct w:val="0"/>
        <w:autoSpaceDE/>
        <w:autoSpaceDN/>
        <w:bidi w:val="0"/>
        <w:adjustRightInd/>
        <w:snapToGrid/>
        <w:spacing w:after="150" w:line="360" w:lineRule="auto"/>
        <w:ind w:firstLine="560" w:firstLineChars="200"/>
        <w:textAlignment w:val="auto"/>
        <w:rPr>
          <w:rFonts w:hint="eastAsia" w:ascii="仿宋" w:hAnsi="仿宋" w:eastAsia="仿宋" w:cs="仿宋"/>
          <w:color w:val="000000"/>
          <w:sz w:val="28"/>
        </w:rPr>
      </w:pPr>
      <w:r>
        <w:rPr>
          <w:rFonts w:ascii="仿宋" w:hAnsi="仿宋" w:eastAsia="仿宋" w:cs="仿宋"/>
          <w:color w:val="000000"/>
          <w:sz w:val="28"/>
        </w:rPr>
        <w:t>本微专业紧密对接国家集成电路产业战略及地方晶圆制造产业发展需求，依托集成电路晶圆制造领域的产业基础和工程资源，以立德树人为根本，以教育部颁布实施的专业国家质量标准为指导。通过深度整合理论课程与工艺实践两大核心模块，将集成电路制造工艺原理、关键装备与企业生产应用紧密结合，使学生系统掌握晶圆制造前道工艺及后道互联流程，熟悉工艺仿真、薄膜沉积、掺杂外延、光刻刻蚀、CMP与互联等关键环节的基本原理、设备架构和工程实践方法，并具备良好的职业通用素质、创新意识和团队合作精神，培养学生成为具备国际视野、适应先进制程与智能制造发展趋势，能在集成电路工艺开发、制程整合、设备工艺应用、生产技术支持及质量管理等相关领域胜任的高素质复合型应用工程技术人才。</w:t>
      </w:r>
    </w:p>
    <w:p w14:paraId="179FEAC0">
      <w:pPr>
        <w:keepNext w:val="0"/>
        <w:keepLines w:val="0"/>
        <w:pageBreakBefore w:val="0"/>
        <w:widowControl/>
        <w:shd w:val="clear" w:color="auto" w:fill="FFFFFF"/>
        <w:kinsoku/>
        <w:wordWrap/>
        <w:overflowPunct/>
        <w:topLinePunct w:val="0"/>
        <w:autoSpaceDE/>
        <w:autoSpaceDN/>
        <w:bidi w:val="0"/>
        <w:adjustRightInd/>
        <w:spacing w:after="150" w:line="360" w:lineRule="auto"/>
        <w:ind w:firstLine="280" w:firstLineChars="100"/>
        <w:jc w:val="left"/>
        <w:textAlignment w:val="auto"/>
        <w:rPr>
          <w:rStyle w:val="9"/>
          <w:rFonts w:hint="eastAsia" w:ascii="微软雅黑" w:hAnsi="微软雅黑" w:eastAsia="微软雅黑" w:cs="微软雅黑"/>
          <w:bCs/>
          <w:color w:val="FF0000"/>
          <w:kern w:val="0"/>
          <w:sz w:val="28"/>
          <w:szCs w:val="28"/>
          <w:shd w:val="clear" w:color="auto" w:fill="FFFFFF"/>
          <w:lang w:bidi="ar"/>
        </w:rPr>
      </w:pPr>
      <w:r>
        <w:rPr>
          <w:rFonts w:ascii="微软雅黑" w:hAnsi="微软雅黑" w:eastAsia="微软雅黑" w:cs="微软雅黑"/>
          <w:b/>
          <w:color w:val="333333"/>
          <w:sz w:val="28"/>
        </w:rPr>
        <w:t>三、 培养要求</w:t>
      </w:r>
    </w:p>
    <w:p w14:paraId="6CFD730E">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仿宋" w:hAnsi="仿宋" w:eastAsia="仿宋" w:cs="仿宋"/>
          <w:sz w:val="28"/>
        </w:rPr>
      </w:pPr>
      <w:r>
        <w:rPr>
          <w:rFonts w:ascii="仿宋" w:hAnsi="仿宋" w:eastAsia="仿宋" w:cs="仿宋"/>
          <w:color w:val="000000"/>
          <w:sz w:val="28"/>
        </w:rPr>
        <w:t>（1） 知识层面：学生需系统掌握集成电路制造方向的基础理论知识，包括集成电路导论、晶圆制造基本流程、前道工艺、关键装备及后道互联等内容。熟悉工艺仿真、薄膜沉积、掺杂与外延、光刻与刻蚀、CMP与互联等关键环节的基本原理、设备架构和工艺控制要点，了解制程整合、工艺窗口和良率提升的基本逻辑。</w:t>
      </w:r>
    </w:p>
    <w:p w14:paraId="5233DFD7">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仿宋" w:hAnsi="仿宋" w:eastAsia="仿宋" w:cs="仿宋"/>
          <w:sz w:val="28"/>
        </w:rPr>
      </w:pPr>
      <w:r>
        <w:rPr>
          <w:rFonts w:ascii="仿宋" w:hAnsi="仿宋" w:eastAsia="仿宋" w:cs="仿宋"/>
          <w:color w:val="000000"/>
          <w:sz w:val="28"/>
        </w:rPr>
        <w:t>（2） 能力层面：学生需具备一定的工艺仿真、参数分析与工程实践能力，能够结合典型制程案例开展建模、结果解读和工艺优化分析。通过课程学习和企业实践，学生应能够初步分析晶圆制造中的关键尺寸控制、膜层质量、掺杂分布、刻蚀形貌、平坦化均匀性及互联可靠性等实际工程问题，并具备适应先进制程与智能制造发展趋势的创新思维能力。</w:t>
      </w:r>
    </w:p>
    <w:p w14:paraId="2B1F0968">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仿宋" w:hAnsi="仿宋" w:eastAsia="仿宋" w:cs="仿宋"/>
          <w:sz w:val="28"/>
        </w:rPr>
      </w:pPr>
      <w:r>
        <w:rPr>
          <w:rFonts w:ascii="仿宋" w:hAnsi="仿宋" w:eastAsia="仿宋" w:cs="仿宋"/>
          <w:color w:val="000000"/>
          <w:sz w:val="28"/>
        </w:rPr>
        <w:t>（3） 素质层面：学生需要具备良好的职业通用素质、规范意识、沟通协调能力和团队合作精神，能够快速适应产教融合的企业实践环境。此外，还需要具备较强的安全意识、质量意识、创新意识、国际视野与责任心，能够遵守半导体制造行业规范，为集成电路制造及相关产业发展做出贡献。</w:t>
      </w:r>
    </w:p>
    <w:p w14:paraId="60B8AD80">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微软雅黑" w:hAnsi="微软雅黑" w:eastAsia="微软雅黑" w:cs="微软雅黑"/>
          <w:color w:val="333333"/>
          <w:sz w:val="28"/>
          <w:szCs w:val="28"/>
        </w:rPr>
      </w:pPr>
      <w:r>
        <w:rPr>
          <w:rStyle w:val="9"/>
          <w:rFonts w:ascii="微软雅黑" w:hAnsi="微软雅黑" w:eastAsia="微软雅黑" w:cs="微软雅黑"/>
          <w:bCs/>
          <w:color w:val="333333"/>
          <w:kern w:val="0"/>
          <w:sz w:val="28"/>
          <w:szCs w:val="28"/>
          <w:shd w:val="clear" w:color="auto" w:fill="FFFFFF"/>
          <w:lang w:bidi="ar"/>
        </w:rPr>
        <w:t>四、 招生对象及条件</w:t>
      </w:r>
    </w:p>
    <w:p w14:paraId="15B3751B">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cs="仿宋"/>
          <w:bCs/>
          <w:sz w:val="28"/>
          <w:szCs w:val="28"/>
        </w:rPr>
      </w:pPr>
      <w:r>
        <w:rPr>
          <w:rFonts w:ascii="仿宋" w:hAnsi="仿宋" w:eastAsia="仿宋" w:cs="仿宋"/>
          <w:color w:val="000000"/>
          <w:sz w:val="28"/>
        </w:rPr>
        <w:t>招生对象：要求为本科202</w:t>
      </w:r>
      <w:r>
        <w:rPr>
          <w:rFonts w:hint="eastAsia" w:ascii="仿宋" w:hAnsi="仿宋" w:eastAsia="仿宋" w:cs="仿宋"/>
          <w:color w:val="000000"/>
          <w:sz w:val="28"/>
        </w:rPr>
        <w:t>4和2025级</w:t>
      </w:r>
      <w:r>
        <w:rPr>
          <w:rFonts w:ascii="仿宋" w:hAnsi="仿宋" w:eastAsia="仿宋" w:cs="仿宋"/>
          <w:color w:val="000000"/>
          <w:sz w:val="28"/>
        </w:rPr>
        <w:t>的学生</w:t>
      </w:r>
      <w:r>
        <w:rPr>
          <w:rFonts w:hint="eastAsia" w:ascii="仿宋" w:hAnsi="仿宋" w:eastAsia="仿宋" w:cs="仿宋"/>
          <w:color w:val="000000"/>
          <w:sz w:val="28"/>
        </w:rPr>
        <w:t>（优先2024级）</w:t>
      </w:r>
      <w:r>
        <w:rPr>
          <w:rFonts w:ascii="仿宋" w:hAnsi="仿宋" w:eastAsia="仿宋" w:cs="仿宋"/>
          <w:color w:val="000000"/>
          <w:sz w:val="28"/>
        </w:rPr>
        <w:t>，以确保学生已经具备了一定的专业基础知识和学习能力。在校生（尤其是工程、电子、材料、物理、机械、自动化等相关专业），具备一定的科学探究能力和工程实践能力，对集成电路制造、晶圆工艺及半导体装备领域表现出浓厚兴趣，并具备相应的学习动机和目标，致力于前往集成电路制造领域就业的学生。</w:t>
      </w:r>
    </w:p>
    <w:p w14:paraId="20A03772">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color w:val="FF0000"/>
          <w:sz w:val="28"/>
          <w:szCs w:val="28"/>
        </w:rPr>
      </w:pPr>
      <w:r>
        <w:rPr>
          <w:rFonts w:ascii="仿宋" w:hAnsi="仿宋" w:eastAsia="仿宋" w:cs="仿宋"/>
          <w:color w:val="000000"/>
          <w:sz w:val="28"/>
        </w:rPr>
        <w:t>招生要求：</w:t>
      </w:r>
    </w:p>
    <w:p w14:paraId="3D7BD174">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color w:val="FF0000"/>
          <w:sz w:val="28"/>
          <w:szCs w:val="28"/>
        </w:rPr>
      </w:pPr>
      <w:r>
        <w:rPr>
          <w:rFonts w:ascii="仿宋" w:hAnsi="仿宋" w:eastAsia="仿宋" w:cs="仿宋"/>
          <w:color w:val="000000"/>
          <w:sz w:val="28"/>
        </w:rPr>
        <w:t>（1）成绩优异，具有良好的数学、物理、材料及工程基础。</w:t>
      </w:r>
    </w:p>
    <w:p w14:paraId="521F1C17">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color w:val="FF0000"/>
          <w:sz w:val="28"/>
          <w:szCs w:val="28"/>
        </w:rPr>
      </w:pPr>
      <w:r>
        <w:rPr>
          <w:rFonts w:ascii="仿宋" w:hAnsi="仿宋" w:eastAsia="仿宋" w:cs="仿宋"/>
          <w:color w:val="000000"/>
          <w:sz w:val="28"/>
        </w:rPr>
        <w:t>（2）具备团队合作精神与规范意识，能够积极参与工艺仿真、课程实训和企业实践。</w:t>
      </w:r>
    </w:p>
    <w:p w14:paraId="0E858D1A">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color w:val="FF0000"/>
          <w:sz w:val="28"/>
          <w:szCs w:val="28"/>
        </w:rPr>
      </w:pPr>
      <w:r>
        <w:rPr>
          <w:rFonts w:ascii="仿宋" w:hAnsi="仿宋" w:eastAsia="仿宋" w:cs="仿宋"/>
          <w:color w:val="000000"/>
          <w:sz w:val="28"/>
        </w:rPr>
        <w:t>（3）有志于在集成电路制造、工艺开发、制程整合、设备工艺应用等相关领域继续深造或就业。</w:t>
      </w:r>
    </w:p>
    <w:p w14:paraId="3482E3C1">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 w:hAnsi="仿宋" w:eastAsia="仿宋" w:cs="仿宋"/>
          <w:color w:val="000000"/>
          <w:sz w:val="28"/>
        </w:rPr>
      </w:pPr>
      <w:r>
        <w:rPr>
          <w:rFonts w:ascii="仿宋" w:hAnsi="仿宋" w:eastAsia="仿宋" w:cs="仿宋"/>
          <w:color w:val="000000"/>
          <w:sz w:val="28"/>
        </w:rPr>
        <w:t>招生人数：30-40人</w:t>
      </w:r>
    </w:p>
    <w:p w14:paraId="50C23DF3">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 w:hAnsi="仿宋" w:eastAsia="仿宋" w:cs="仿宋"/>
          <w:color w:val="000000"/>
          <w:sz w:val="28"/>
        </w:rPr>
      </w:pPr>
    </w:p>
    <w:p w14:paraId="1C683DA1">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Style w:val="9"/>
          <w:rFonts w:hint="eastAsia" w:ascii="微软雅黑" w:hAnsi="微软雅黑" w:eastAsia="微软雅黑" w:cs="微软雅黑"/>
          <w:bCs/>
          <w:color w:val="333333"/>
          <w:kern w:val="0"/>
          <w:sz w:val="28"/>
          <w:szCs w:val="28"/>
          <w:shd w:val="clear" w:color="auto" w:fill="FFFFFF"/>
          <w:lang w:bidi="ar"/>
        </w:rPr>
      </w:pPr>
      <w:r>
        <w:rPr>
          <w:rFonts w:ascii="微软雅黑" w:hAnsi="微软雅黑" w:eastAsia="微软雅黑" w:cs="微软雅黑"/>
          <w:b/>
          <w:color w:val="333333"/>
          <w:sz w:val="28"/>
        </w:rPr>
        <w:t>五、 学制及证书授予</w:t>
      </w:r>
    </w:p>
    <w:p w14:paraId="66110D26">
      <w:pPr>
        <w:keepNext w:val="0"/>
        <w:keepLines w:val="0"/>
        <w:pageBreakBefore w:val="0"/>
        <w:widowControl/>
        <w:shd w:val="clear" w:color="auto" w:fill="FFFFFF"/>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rPr>
      </w:pPr>
      <w:r>
        <w:rPr>
          <w:rFonts w:hint="eastAsia" w:ascii="仿宋_GB2312;仿宋" w:hAnsi="仿宋_GB2312;仿宋" w:eastAsia="仿宋_GB2312;仿宋"/>
          <w:sz w:val="28"/>
          <w:szCs w:val="28"/>
        </w:rPr>
        <w:t>集成电路制造微专业</w:t>
      </w:r>
      <w:r>
        <w:rPr>
          <w:rFonts w:ascii="仿宋_GB2312;仿宋" w:hAnsi="仿宋_GB2312;仿宋" w:eastAsia="仿宋_GB2312;仿宋"/>
          <w:sz w:val="28"/>
          <w:szCs w:val="28"/>
        </w:rPr>
        <w:t>修读年限为1年，成绩单独管理，不计入主修专业成绩单。</w:t>
      </w:r>
      <w:r>
        <w:rPr>
          <w:rFonts w:ascii="仿宋" w:hAnsi="仿宋" w:eastAsia="仿宋" w:cs="仿宋"/>
          <w:sz w:val="28"/>
        </w:rPr>
        <w:t>学生在毕业前，修满本培养方案规定的1</w:t>
      </w:r>
      <w:r>
        <w:rPr>
          <w:rFonts w:hint="eastAsia" w:ascii="仿宋" w:hAnsi="仿宋" w:eastAsia="仿宋" w:cs="仿宋"/>
          <w:sz w:val="28"/>
        </w:rPr>
        <w:t>0</w:t>
      </w:r>
      <w:r>
        <w:rPr>
          <w:rFonts w:ascii="仿宋" w:hAnsi="仿宋" w:eastAsia="仿宋" w:cs="仿宋"/>
          <w:sz w:val="28"/>
        </w:rPr>
        <w:t>学分，颁发</w:t>
      </w:r>
      <w:r>
        <w:rPr>
          <w:rFonts w:hint="eastAsia" w:ascii="仿宋" w:hAnsi="仿宋" w:eastAsia="仿宋" w:cs="仿宋"/>
          <w:b/>
          <w:bCs/>
          <w:sz w:val="28"/>
        </w:rPr>
        <w:t>集成电路制造微专业</w:t>
      </w:r>
      <w:r>
        <w:rPr>
          <w:rFonts w:ascii="仿宋" w:hAnsi="仿宋" w:eastAsia="仿宋" w:cs="仿宋"/>
          <w:b/>
          <w:bCs/>
          <w:sz w:val="28"/>
        </w:rPr>
        <w:t>证书</w:t>
      </w:r>
      <w:r>
        <w:rPr>
          <w:rFonts w:ascii="仿宋" w:hAnsi="仿宋" w:eastAsia="仿宋" w:cs="仿宋"/>
          <w:sz w:val="28"/>
        </w:rPr>
        <w:t>。</w:t>
      </w:r>
      <w:r>
        <w:rPr>
          <w:rFonts w:hint="eastAsia" w:ascii="仿宋" w:hAnsi="仿宋" w:eastAsia="仿宋" w:cs="仿宋"/>
          <w:sz w:val="28"/>
        </w:rPr>
        <w:t>课程修读合格，优先推荐学员进入集成电路制造定向班和</w:t>
      </w:r>
      <w:r>
        <w:rPr>
          <w:rFonts w:ascii="仿宋" w:hAnsi="仿宋" w:eastAsia="仿宋" w:cs="仿宋"/>
          <w:sz w:val="28"/>
        </w:rPr>
        <w:t>进入半导体制造企业就业。</w:t>
      </w:r>
      <w:r>
        <w:rPr>
          <w:rFonts w:hint="eastAsia" w:ascii="仿宋" w:hAnsi="仿宋" w:eastAsia="仿宋"/>
          <w:sz w:val="28"/>
          <w:szCs w:val="28"/>
        </w:rPr>
        <w:t>通过微专业学习进入</w:t>
      </w:r>
      <w:r>
        <w:rPr>
          <w:rFonts w:hint="eastAsia" w:ascii="仿宋" w:hAnsi="仿宋" w:eastAsia="仿宋" w:cs="仿宋"/>
          <w:sz w:val="28"/>
        </w:rPr>
        <w:t>集成电路制造定向班</w:t>
      </w:r>
      <w:r>
        <w:rPr>
          <w:rFonts w:hint="eastAsia" w:ascii="仿宋" w:hAnsi="仿宋" w:eastAsia="仿宋"/>
          <w:sz w:val="28"/>
          <w:szCs w:val="28"/>
        </w:rPr>
        <w:t>的学生，根据课程与培养计划课程体系要求情况，1-3门专业课可以在教务处批准后进行</w:t>
      </w:r>
      <w:r>
        <w:rPr>
          <w:rFonts w:hint="eastAsia" w:ascii="仿宋" w:hAnsi="仿宋" w:eastAsia="仿宋"/>
          <w:b/>
          <w:bCs/>
          <w:sz w:val="28"/>
          <w:szCs w:val="28"/>
        </w:rPr>
        <w:t>学分替代</w:t>
      </w:r>
      <w:r>
        <w:rPr>
          <w:rFonts w:hint="eastAsia" w:ascii="仿宋" w:hAnsi="仿宋" w:eastAsia="仿宋"/>
          <w:sz w:val="28"/>
          <w:szCs w:val="28"/>
        </w:rPr>
        <w:t>。</w:t>
      </w:r>
    </w:p>
    <w:p w14:paraId="37324578">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微软雅黑" w:hAnsi="微软雅黑" w:eastAsia="微软雅黑" w:cs="微软雅黑"/>
          <w:color w:val="333333"/>
          <w:sz w:val="28"/>
          <w:szCs w:val="28"/>
        </w:rPr>
      </w:pPr>
      <w:r>
        <w:rPr>
          <w:rStyle w:val="9"/>
          <w:rFonts w:ascii="微软雅黑" w:hAnsi="微软雅黑" w:eastAsia="微软雅黑" w:cs="微软雅黑"/>
          <w:bCs/>
          <w:color w:val="333333"/>
          <w:kern w:val="0"/>
          <w:sz w:val="28"/>
          <w:szCs w:val="28"/>
          <w:shd w:val="clear" w:color="auto" w:fill="FFFFFF"/>
          <w:lang w:bidi="ar"/>
        </w:rPr>
        <w:t>六、 学费</w:t>
      </w:r>
    </w:p>
    <w:p w14:paraId="1E9FDE31">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sz w:val="28"/>
          <w:szCs w:val="28"/>
        </w:rPr>
      </w:pPr>
      <w:r>
        <w:rPr>
          <w:rFonts w:ascii="仿宋_GB2312;仿宋" w:hAnsi="仿宋_GB2312;仿宋" w:eastAsia="仿宋_GB2312;仿宋"/>
          <w:bCs/>
          <w:sz w:val="28"/>
          <w:szCs w:val="28"/>
        </w:rPr>
        <w:t>根据学院讨论决定，</w:t>
      </w:r>
      <w:r>
        <w:rPr>
          <w:rFonts w:hint="eastAsia" w:ascii="仿宋_GB2312;仿宋" w:hAnsi="仿宋_GB2312;仿宋" w:eastAsia="仿宋_GB2312;仿宋"/>
          <w:bCs/>
          <w:sz w:val="28"/>
          <w:szCs w:val="28"/>
        </w:rPr>
        <w:t>集成电路制造微专业</w:t>
      </w:r>
      <w:r>
        <w:rPr>
          <w:rFonts w:ascii="仿宋_GB2312;仿宋" w:hAnsi="仿宋_GB2312;仿宋" w:eastAsia="仿宋_GB2312;仿宋"/>
          <w:bCs/>
          <w:sz w:val="28"/>
          <w:szCs w:val="28"/>
        </w:rPr>
        <w:t>不收取学费。</w:t>
      </w:r>
    </w:p>
    <w:p w14:paraId="761BD038">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微软雅黑" w:hAnsi="微软雅黑" w:eastAsia="微软雅黑" w:cs="微软雅黑"/>
          <w:color w:val="333333"/>
          <w:sz w:val="28"/>
          <w:szCs w:val="28"/>
        </w:rPr>
      </w:pPr>
      <w:r>
        <w:rPr>
          <w:rStyle w:val="9"/>
          <w:rFonts w:ascii="微软雅黑" w:hAnsi="微软雅黑" w:eastAsia="微软雅黑" w:cs="微软雅黑"/>
          <w:bCs/>
          <w:color w:val="333333"/>
          <w:kern w:val="0"/>
          <w:sz w:val="28"/>
          <w:szCs w:val="28"/>
          <w:shd w:val="clear" w:color="auto" w:fill="FFFFFF"/>
          <w:lang w:bidi="ar"/>
        </w:rPr>
        <w:t>七、 报名及咨询</w:t>
      </w:r>
    </w:p>
    <w:p w14:paraId="240FED0E">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sz w:val="28"/>
          <w:szCs w:val="28"/>
        </w:rPr>
      </w:pPr>
      <w:r>
        <w:rPr>
          <w:rFonts w:ascii="仿宋" w:hAnsi="仿宋" w:eastAsia="仿宋" w:cs="仿宋"/>
          <w:color w:val="000000"/>
          <w:sz w:val="28"/>
        </w:rPr>
        <w:t>报名网址：</w:t>
      </w:r>
      <w:r>
        <w:rPr>
          <w:rFonts w:hint="eastAsia" w:ascii="仿宋" w:hAnsi="仿宋" w:eastAsia="仿宋" w:cs="仿宋"/>
          <w:color w:val="000000"/>
          <w:sz w:val="28"/>
        </w:rPr>
        <w:t xml:space="preserve">https://v.wjx.cn/vm/Q03Cx1K.aspx# </w:t>
      </w:r>
      <w:r>
        <w:rPr>
          <w:rFonts w:ascii="仿宋" w:hAnsi="仿宋" w:eastAsia="仿宋" w:cs="仿宋"/>
          <w:color w:val="000000"/>
          <w:sz w:val="28"/>
        </w:rPr>
        <w:t xml:space="preserve"> 填表报名，学院审核后，择优确定微专业录取名单，报教务处备案并发布录取信息。</w:t>
      </w:r>
    </w:p>
    <w:p w14:paraId="1205FD8B">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sz w:val="28"/>
          <w:szCs w:val="28"/>
        </w:rPr>
      </w:pPr>
      <w:r>
        <w:rPr>
          <w:rFonts w:ascii="仿宋_GB2312;仿宋" w:hAnsi="仿宋_GB2312;仿宋" w:eastAsia="仿宋_GB2312;仿宋"/>
          <w:bCs/>
          <w:sz w:val="28"/>
          <w:szCs w:val="28"/>
        </w:rPr>
        <w:t>联系人：陆老师、郭老师</w:t>
      </w:r>
    </w:p>
    <w:p w14:paraId="0ADC6D9B">
      <w:pPr>
        <w:keepNext w:val="0"/>
        <w:keepLines w:val="0"/>
        <w:pageBreakBefore w:val="0"/>
        <w:kinsoku/>
        <w:wordWrap/>
        <w:overflowPunct/>
        <w:topLinePunct w:val="0"/>
        <w:autoSpaceDE/>
        <w:autoSpaceDN/>
        <w:bidi w:val="0"/>
        <w:adjustRightInd/>
        <w:snapToGrid w:val="0"/>
        <w:spacing w:line="360" w:lineRule="auto"/>
        <w:ind w:firstLine="560" w:firstLineChars="200"/>
        <w:textAlignment w:val="auto"/>
        <w:rPr>
          <w:rFonts w:ascii="仿宋_GB2312;仿宋" w:hAnsi="仿宋_GB2312;仿宋" w:eastAsia="仿宋_GB2312;仿宋"/>
          <w:bCs/>
          <w:sz w:val="28"/>
          <w:szCs w:val="28"/>
        </w:rPr>
      </w:pPr>
      <w:r>
        <w:rPr>
          <w:rFonts w:ascii="仿宋" w:hAnsi="仿宋" w:eastAsia="仿宋" w:cs="仿宋"/>
          <w:color w:val="000000"/>
          <w:sz w:val="28"/>
        </w:rPr>
        <w:t>咨询邮箱：fflu@sspu.edu.cn, swguo@sspu.edu.cn（请在邮件标题注明“微专业咨询”）</w:t>
      </w:r>
    </w:p>
    <w:p w14:paraId="456577F3">
      <w:pPr>
        <w:keepNext w:val="0"/>
        <w:keepLines w:val="0"/>
        <w:pageBreakBefore w:val="0"/>
        <w:widowControl/>
        <w:shd w:val="clear" w:color="auto" w:fill="FFFFFF"/>
        <w:kinsoku/>
        <w:wordWrap/>
        <w:overflowPunct/>
        <w:topLinePunct w:val="0"/>
        <w:autoSpaceDE/>
        <w:autoSpaceDN/>
        <w:bidi w:val="0"/>
        <w:adjustRightInd/>
        <w:spacing w:after="150" w:line="360" w:lineRule="auto"/>
        <w:ind w:firstLine="560" w:firstLineChars="200"/>
        <w:jc w:val="left"/>
        <w:textAlignment w:val="auto"/>
        <w:rPr>
          <w:rFonts w:hint="eastAsia" w:ascii="微软雅黑" w:hAnsi="微软雅黑" w:eastAsia="微软雅黑" w:cs="微软雅黑"/>
          <w:color w:val="333333"/>
          <w:sz w:val="28"/>
          <w:szCs w:val="28"/>
        </w:rPr>
      </w:pPr>
      <w:r>
        <w:rPr>
          <w:rStyle w:val="9"/>
          <w:rFonts w:ascii="微软雅黑" w:hAnsi="微软雅黑" w:eastAsia="微软雅黑" w:cs="微软雅黑"/>
          <w:bCs/>
          <w:color w:val="333333"/>
          <w:kern w:val="0"/>
          <w:sz w:val="28"/>
          <w:szCs w:val="28"/>
          <w:shd w:val="clear" w:color="auto" w:fill="FFFFFF"/>
          <w:lang w:bidi="ar"/>
        </w:rPr>
        <w:t>八、 教学计划与课程简介</w:t>
      </w:r>
    </w:p>
    <w:p w14:paraId="60B7784C">
      <w:pPr>
        <w:keepNext w:val="0"/>
        <w:keepLines w:val="0"/>
        <w:pageBreakBefore w:val="0"/>
        <w:kinsoku/>
        <w:wordWrap/>
        <w:overflowPunct/>
        <w:topLinePunct w:val="0"/>
        <w:autoSpaceDE/>
        <w:autoSpaceDN/>
        <w:bidi w:val="0"/>
        <w:adjustRightInd/>
        <w:snapToGrid w:val="0"/>
        <w:spacing w:line="360" w:lineRule="auto"/>
        <w:ind w:left="480" w:firstLine="482" w:firstLineChars="200"/>
        <w:jc w:val="center"/>
        <w:textAlignment w:val="auto"/>
        <w:outlineLvl w:val="0"/>
        <w:rPr>
          <w:rFonts w:hint="eastAsia" w:ascii="黑体" w:hAnsi="黑体" w:eastAsia="黑体"/>
          <w:b/>
          <w:sz w:val="24"/>
        </w:rPr>
      </w:pPr>
      <w:r>
        <w:rPr>
          <w:rFonts w:ascii="黑体" w:hAnsi="黑体" w:eastAsia="黑体"/>
          <w:b/>
          <w:sz w:val="24"/>
        </w:rPr>
        <w:t>微专业课程设置及教学进程计划表</w:t>
      </w:r>
    </w:p>
    <w:tbl>
      <w:tblPr>
        <w:tblStyle w:val="7"/>
        <w:tblW w:w="10470" w:type="dxa"/>
        <w:jc w:val="center"/>
        <w:tblLayout w:type="fixed"/>
        <w:tblCellMar>
          <w:top w:w="0" w:type="dxa"/>
          <w:left w:w="108" w:type="dxa"/>
          <w:bottom w:w="0" w:type="dxa"/>
          <w:right w:w="108" w:type="dxa"/>
        </w:tblCellMar>
      </w:tblPr>
      <w:tblGrid>
        <w:gridCol w:w="567"/>
        <w:gridCol w:w="1129"/>
        <w:gridCol w:w="1418"/>
        <w:gridCol w:w="992"/>
        <w:gridCol w:w="1186"/>
        <w:gridCol w:w="1089"/>
        <w:gridCol w:w="1111"/>
        <w:gridCol w:w="1256"/>
        <w:gridCol w:w="1722"/>
      </w:tblGrid>
      <w:tr w14:paraId="283363CF">
        <w:trPr>
          <w:trHeight w:val="454" w:hRule="atLeast"/>
          <w:jc w:val="center"/>
        </w:trPr>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798EDF56">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lang w:val="en-US" w:eastAsia="zh-CN"/>
              </w:rPr>
            </w:pPr>
            <w:r>
              <w:rPr>
                <w:rFonts w:hint="eastAsia" w:ascii="仿宋" w:hAnsi="仿宋" w:eastAsia="仿宋" w:cs="仿宋"/>
                <w:bCs/>
                <w:sz w:val="24"/>
                <w:lang w:val="en-US" w:eastAsia="zh-CN"/>
              </w:rPr>
              <w:t>序</w:t>
            </w:r>
            <w:r>
              <w:rPr>
                <w:rFonts w:ascii="仿宋" w:hAnsi="仿宋" w:eastAsia="仿宋" w:cs="仿宋"/>
                <w:bCs/>
                <w:sz w:val="24"/>
              </w:rPr>
              <w:t>序</w:t>
            </w:r>
            <w:r>
              <w:rPr>
                <w:rFonts w:hint="eastAsia" w:ascii="仿宋" w:hAnsi="仿宋" w:eastAsia="仿宋" w:cs="仿宋"/>
                <w:bCs/>
                <w:sz w:val="24"/>
                <w:lang w:val="en-US" w:eastAsia="zh-CN"/>
              </w:rPr>
              <w:t>号</w:t>
            </w:r>
          </w:p>
        </w:tc>
        <w:tc>
          <w:tcPr>
            <w:tcW w:w="254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91ADD60">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pacing w:val="20"/>
                <w:sz w:val="24"/>
              </w:rPr>
            </w:pPr>
            <w:r>
              <w:rPr>
                <w:rFonts w:ascii="仿宋" w:hAnsi="仿宋" w:eastAsia="仿宋" w:cs="仿宋"/>
                <w:bCs/>
                <w:sz w:val="24"/>
              </w:rPr>
              <w:t>课程名称</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14:paraId="16ABA4E3">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pacing w:val="20"/>
                <w:sz w:val="24"/>
              </w:rPr>
            </w:pPr>
            <w:r>
              <w:rPr>
                <w:rFonts w:ascii="仿宋" w:hAnsi="仿宋" w:eastAsia="仿宋" w:cs="仿宋"/>
                <w:bCs/>
                <w:sz w:val="24"/>
              </w:rPr>
              <w:t>学分</w:t>
            </w:r>
          </w:p>
        </w:tc>
        <w:tc>
          <w:tcPr>
            <w:tcW w:w="3386" w:type="dxa"/>
            <w:gridSpan w:val="3"/>
            <w:tcBorders>
              <w:top w:val="single" w:color="000000" w:sz="4" w:space="0"/>
              <w:left w:val="single" w:color="000000" w:sz="4" w:space="0"/>
              <w:bottom w:val="single" w:color="000000" w:sz="4" w:space="0"/>
              <w:right w:val="single" w:color="000000" w:sz="4" w:space="0"/>
            </w:tcBorders>
          </w:tcPr>
          <w:p w14:paraId="51E1596D">
            <w:pPr>
              <w:keepNext w:val="0"/>
              <w:keepLines w:val="0"/>
              <w:pageBreakBefore w:val="0"/>
              <w:widowControl/>
              <w:kinsoku/>
              <w:wordWrap/>
              <w:overflowPunct/>
              <w:topLinePunct w:val="0"/>
              <w:autoSpaceDE/>
              <w:autoSpaceDN/>
              <w:bidi w:val="0"/>
              <w:adjustRightInd/>
              <w:spacing w:line="360" w:lineRule="auto"/>
              <w:ind w:firstLine="600" w:firstLineChars="200"/>
              <w:jc w:val="center"/>
              <w:textAlignment w:val="auto"/>
              <w:rPr>
                <w:rFonts w:hint="eastAsia" w:ascii="仿宋" w:hAnsi="仿宋" w:eastAsia="仿宋" w:cs="仿宋"/>
                <w:bCs/>
                <w:spacing w:val="20"/>
                <w:sz w:val="24"/>
              </w:rPr>
            </w:pPr>
            <w:r>
              <w:rPr>
                <w:rFonts w:ascii="仿宋" w:hAnsi="仿宋" w:eastAsia="仿宋" w:cs="仿宋"/>
                <w:bCs/>
                <w:spacing w:val="30"/>
                <w:kern w:val="0"/>
                <w:sz w:val="24"/>
              </w:rPr>
              <w:t>学时</w:t>
            </w:r>
            <w:r>
              <w:rPr>
                <w:rFonts w:ascii="仿宋" w:hAnsi="仿宋" w:eastAsia="仿宋" w:cs="仿宋"/>
                <w:bCs/>
                <w:kern w:val="0"/>
                <w:sz w:val="24"/>
              </w:rPr>
              <w:t>数</w:t>
            </w:r>
          </w:p>
        </w:tc>
        <w:tc>
          <w:tcPr>
            <w:tcW w:w="1256" w:type="dxa"/>
            <w:vMerge w:val="restart"/>
            <w:tcBorders>
              <w:top w:val="single" w:color="000000" w:sz="4" w:space="0"/>
              <w:left w:val="single" w:color="000000" w:sz="4" w:space="0"/>
              <w:bottom w:val="single" w:color="000000" w:sz="4" w:space="0"/>
              <w:right w:val="single" w:color="000000" w:sz="4" w:space="0"/>
            </w:tcBorders>
            <w:vAlign w:val="center"/>
          </w:tcPr>
          <w:p w14:paraId="4D3096F2">
            <w:pPr>
              <w:keepNext w:val="0"/>
              <w:keepLines w:val="0"/>
              <w:pageBreakBefore w:val="0"/>
              <w:widowControl/>
              <w:kinsoku/>
              <w:wordWrap/>
              <w:overflowPunct/>
              <w:topLinePunct w:val="0"/>
              <w:autoSpaceDE/>
              <w:autoSpaceDN/>
              <w:bidi w:val="0"/>
              <w:adjustRightInd/>
              <w:spacing w:line="360" w:lineRule="auto"/>
              <w:ind w:firstLine="560" w:firstLineChars="200"/>
              <w:jc w:val="center"/>
              <w:textAlignment w:val="auto"/>
              <w:rPr>
                <w:rFonts w:hint="eastAsia" w:ascii="仿宋" w:hAnsi="仿宋" w:eastAsia="仿宋" w:cs="仿宋"/>
                <w:bCs/>
                <w:spacing w:val="20"/>
                <w:sz w:val="24"/>
              </w:rPr>
            </w:pPr>
            <w:r>
              <w:rPr>
                <w:rFonts w:ascii="仿宋" w:hAnsi="仿宋" w:eastAsia="仿宋" w:cs="仿宋"/>
                <w:bCs/>
                <w:spacing w:val="20"/>
                <w:sz w:val="24"/>
              </w:rPr>
              <w:t>授课方式（混合、线下）</w:t>
            </w:r>
          </w:p>
        </w:tc>
        <w:tc>
          <w:tcPr>
            <w:tcW w:w="1722" w:type="dxa"/>
            <w:vMerge w:val="restart"/>
            <w:tcBorders>
              <w:top w:val="single" w:color="000000" w:sz="4" w:space="0"/>
              <w:left w:val="single" w:color="000000" w:sz="4" w:space="0"/>
              <w:bottom w:val="single" w:color="000000" w:sz="4" w:space="0"/>
              <w:right w:val="single" w:color="000000" w:sz="4" w:space="0"/>
            </w:tcBorders>
            <w:vAlign w:val="center"/>
          </w:tcPr>
          <w:p w14:paraId="5C1B8E6A">
            <w:pPr>
              <w:keepNext w:val="0"/>
              <w:keepLines w:val="0"/>
              <w:pageBreakBefore w:val="0"/>
              <w:widowControl/>
              <w:kinsoku/>
              <w:wordWrap/>
              <w:overflowPunct/>
              <w:topLinePunct w:val="0"/>
              <w:autoSpaceDE/>
              <w:autoSpaceDN/>
              <w:bidi w:val="0"/>
              <w:adjustRightInd/>
              <w:spacing w:line="360" w:lineRule="auto"/>
              <w:ind w:firstLine="560" w:firstLineChars="200"/>
              <w:jc w:val="center"/>
              <w:textAlignment w:val="auto"/>
              <w:rPr>
                <w:rFonts w:hint="eastAsia" w:ascii="仿宋" w:hAnsi="仿宋" w:eastAsia="仿宋" w:cs="仿宋"/>
                <w:bCs/>
                <w:spacing w:val="20"/>
                <w:sz w:val="24"/>
              </w:rPr>
            </w:pPr>
            <w:r>
              <w:rPr>
                <w:rFonts w:ascii="仿宋" w:hAnsi="仿宋" w:eastAsia="仿宋" w:cs="仿宋"/>
                <w:bCs/>
                <w:spacing w:val="20"/>
                <w:sz w:val="24"/>
              </w:rPr>
              <w:t>开课学期</w:t>
            </w:r>
          </w:p>
        </w:tc>
      </w:tr>
      <w:tr w14:paraId="6ECE4B0B">
        <w:tblPrEx>
          <w:tblCellMar>
            <w:top w:w="0" w:type="dxa"/>
            <w:left w:w="108" w:type="dxa"/>
            <w:bottom w:w="0" w:type="dxa"/>
            <w:right w:w="108" w:type="dxa"/>
          </w:tblCellMar>
        </w:tblPrEx>
        <w:trPr>
          <w:trHeight w:val="454"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5688B3DF">
            <w:pPr>
              <w:keepNext w:val="0"/>
              <w:keepLines w:val="0"/>
              <w:pageBreakBefore w:val="0"/>
              <w:widowControl/>
              <w:kinsoku/>
              <w:wordWrap/>
              <w:overflowPunct/>
              <w:topLinePunct w:val="0"/>
              <w:autoSpaceDE/>
              <w:autoSpaceDN/>
              <w:bidi w:val="0"/>
              <w:adjustRightInd/>
              <w:snapToGrid w:val="0"/>
              <w:spacing w:line="360" w:lineRule="auto"/>
              <w:ind w:firstLine="562" w:firstLineChars="200"/>
              <w:jc w:val="center"/>
              <w:textAlignment w:val="auto"/>
              <w:rPr>
                <w:rFonts w:hint="eastAsia" w:ascii="仿宋" w:hAnsi="仿宋" w:eastAsia="仿宋" w:cs="仿宋"/>
                <w:b/>
                <w:bCs/>
                <w:spacing w:val="20"/>
                <w:sz w:val="24"/>
              </w:rPr>
            </w:pPr>
          </w:p>
        </w:tc>
        <w:tc>
          <w:tcPr>
            <w:tcW w:w="25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5694A47">
            <w:pPr>
              <w:keepNext w:val="0"/>
              <w:keepLines w:val="0"/>
              <w:pageBreakBefore w:val="0"/>
              <w:widowControl/>
              <w:kinsoku/>
              <w:wordWrap/>
              <w:overflowPunct/>
              <w:topLinePunct w:val="0"/>
              <w:autoSpaceDE/>
              <w:autoSpaceDN/>
              <w:bidi w:val="0"/>
              <w:adjustRightInd/>
              <w:snapToGrid w:val="0"/>
              <w:spacing w:line="360" w:lineRule="auto"/>
              <w:ind w:firstLine="562" w:firstLineChars="200"/>
              <w:jc w:val="center"/>
              <w:textAlignment w:val="auto"/>
              <w:rPr>
                <w:rFonts w:hint="eastAsia" w:ascii="仿宋" w:hAnsi="仿宋" w:eastAsia="仿宋" w:cs="仿宋"/>
                <w:b/>
                <w:spacing w:val="20"/>
                <w:sz w:val="24"/>
              </w:rPr>
            </w:pPr>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14:paraId="43535E95">
            <w:pPr>
              <w:keepNext w:val="0"/>
              <w:keepLines w:val="0"/>
              <w:pageBreakBefore w:val="0"/>
              <w:widowControl/>
              <w:kinsoku/>
              <w:wordWrap/>
              <w:overflowPunct/>
              <w:topLinePunct w:val="0"/>
              <w:autoSpaceDE/>
              <w:autoSpaceDN/>
              <w:bidi w:val="0"/>
              <w:adjustRightInd/>
              <w:snapToGrid w:val="0"/>
              <w:spacing w:line="360" w:lineRule="auto"/>
              <w:ind w:firstLine="562" w:firstLineChars="200"/>
              <w:jc w:val="center"/>
              <w:textAlignment w:val="auto"/>
              <w:rPr>
                <w:rFonts w:hint="eastAsia" w:ascii="仿宋" w:hAnsi="仿宋" w:eastAsia="仿宋" w:cs="仿宋"/>
                <w:b/>
                <w:spacing w:val="20"/>
                <w:sz w:val="24"/>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70605D55">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pacing w:val="20"/>
                <w:sz w:val="24"/>
              </w:rPr>
            </w:pPr>
            <w:r>
              <w:rPr>
                <w:rFonts w:ascii="仿宋" w:hAnsi="仿宋" w:eastAsia="仿宋" w:cs="仿宋"/>
                <w:bCs/>
                <w:sz w:val="24"/>
              </w:rPr>
              <w:t>总学时</w:t>
            </w:r>
          </w:p>
        </w:tc>
        <w:tc>
          <w:tcPr>
            <w:tcW w:w="1089" w:type="dxa"/>
            <w:tcBorders>
              <w:top w:val="single" w:color="000000" w:sz="4" w:space="0"/>
              <w:left w:val="single" w:color="000000" w:sz="4" w:space="0"/>
              <w:bottom w:val="single" w:color="000000" w:sz="4" w:space="0"/>
              <w:right w:val="single" w:color="000000" w:sz="4" w:space="0"/>
            </w:tcBorders>
            <w:vAlign w:val="center"/>
          </w:tcPr>
          <w:p w14:paraId="3BE9729A">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理论</w:t>
            </w:r>
          </w:p>
          <w:p w14:paraId="05DE4701">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pacing w:val="20"/>
                <w:sz w:val="24"/>
              </w:rPr>
            </w:pPr>
            <w:r>
              <w:rPr>
                <w:rFonts w:ascii="仿宋" w:hAnsi="仿宋" w:eastAsia="仿宋" w:cs="仿宋"/>
                <w:bCs/>
                <w:sz w:val="24"/>
              </w:rPr>
              <w:t>学时</w:t>
            </w:r>
          </w:p>
        </w:tc>
        <w:tc>
          <w:tcPr>
            <w:tcW w:w="1111" w:type="dxa"/>
            <w:tcBorders>
              <w:top w:val="single" w:color="000000" w:sz="4" w:space="0"/>
              <w:left w:val="single" w:color="000000" w:sz="4" w:space="0"/>
              <w:bottom w:val="single" w:color="000000" w:sz="4" w:space="0"/>
              <w:right w:val="single" w:color="000000" w:sz="4" w:space="0"/>
            </w:tcBorders>
            <w:vAlign w:val="center"/>
          </w:tcPr>
          <w:p w14:paraId="3B56A8A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实践</w:t>
            </w:r>
          </w:p>
          <w:p w14:paraId="0691372F">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pacing w:val="20"/>
                <w:sz w:val="24"/>
              </w:rPr>
            </w:pPr>
            <w:r>
              <w:rPr>
                <w:rFonts w:ascii="仿宋" w:hAnsi="仿宋" w:eastAsia="仿宋" w:cs="仿宋"/>
                <w:bCs/>
                <w:sz w:val="24"/>
              </w:rPr>
              <w:t>学时</w:t>
            </w:r>
          </w:p>
        </w:tc>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0BFECD1C">
            <w:pPr>
              <w:keepNext w:val="0"/>
              <w:keepLines w:val="0"/>
              <w:pageBreakBefore w:val="0"/>
              <w:widowControl/>
              <w:kinsoku/>
              <w:wordWrap/>
              <w:overflowPunct/>
              <w:topLinePunct w:val="0"/>
              <w:autoSpaceDE/>
              <w:autoSpaceDN/>
              <w:bidi w:val="0"/>
              <w:adjustRightInd/>
              <w:snapToGrid w:val="0"/>
              <w:spacing w:line="360" w:lineRule="auto"/>
              <w:ind w:firstLine="562" w:firstLineChars="200"/>
              <w:jc w:val="center"/>
              <w:textAlignment w:val="auto"/>
              <w:rPr>
                <w:rFonts w:hint="eastAsia" w:ascii="仿宋" w:hAnsi="仿宋" w:eastAsia="仿宋" w:cs="仿宋"/>
                <w:b/>
                <w:bCs/>
                <w:spacing w:val="20"/>
                <w:sz w:val="24"/>
              </w:rPr>
            </w:pPr>
          </w:p>
        </w:tc>
        <w:tc>
          <w:tcPr>
            <w:tcW w:w="1722" w:type="dxa"/>
            <w:vMerge w:val="continue"/>
            <w:tcBorders>
              <w:top w:val="single" w:color="000000" w:sz="4" w:space="0"/>
              <w:left w:val="single" w:color="000000" w:sz="4" w:space="0"/>
              <w:bottom w:val="single" w:color="000000" w:sz="4" w:space="0"/>
              <w:right w:val="single" w:color="000000" w:sz="4" w:space="0"/>
            </w:tcBorders>
            <w:vAlign w:val="center"/>
          </w:tcPr>
          <w:p w14:paraId="490F6624">
            <w:pPr>
              <w:keepNext w:val="0"/>
              <w:keepLines w:val="0"/>
              <w:pageBreakBefore w:val="0"/>
              <w:widowControl/>
              <w:kinsoku/>
              <w:wordWrap/>
              <w:overflowPunct/>
              <w:topLinePunct w:val="0"/>
              <w:autoSpaceDE/>
              <w:autoSpaceDN/>
              <w:bidi w:val="0"/>
              <w:adjustRightInd/>
              <w:snapToGrid w:val="0"/>
              <w:spacing w:line="360" w:lineRule="auto"/>
              <w:ind w:firstLine="502" w:firstLineChars="200"/>
              <w:jc w:val="center"/>
              <w:textAlignment w:val="auto"/>
              <w:rPr>
                <w:rFonts w:hint="eastAsia" w:ascii="仿宋" w:hAnsi="仿宋" w:eastAsia="仿宋" w:cs="仿宋"/>
                <w:b/>
                <w:spacing w:val="20"/>
                <w:szCs w:val="21"/>
              </w:rPr>
            </w:pPr>
          </w:p>
        </w:tc>
      </w:tr>
      <w:tr w14:paraId="60D830D1">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7B21C846">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lang w:val="en-US" w:eastAsia="zh-CN"/>
              </w:rPr>
              <w:t>1</w:t>
            </w:r>
            <w:r>
              <w:rPr>
                <w:rFonts w:ascii="仿宋" w:hAnsi="仿宋" w:eastAsia="仿宋" w:cs="仿宋"/>
                <w:bCs/>
                <w:sz w:val="24"/>
              </w:rPr>
              <w:t>1</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5A0D1931">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集成电路导论</w:t>
            </w:r>
          </w:p>
        </w:tc>
        <w:tc>
          <w:tcPr>
            <w:tcW w:w="992" w:type="dxa"/>
            <w:tcBorders>
              <w:top w:val="single" w:color="000000" w:sz="4" w:space="0"/>
              <w:left w:val="single" w:color="000000" w:sz="4" w:space="0"/>
              <w:bottom w:val="single" w:color="000000" w:sz="4" w:space="0"/>
              <w:right w:val="single" w:color="000000" w:sz="4" w:space="0"/>
            </w:tcBorders>
            <w:vAlign w:val="center"/>
          </w:tcPr>
          <w:p w14:paraId="438C5F11">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7B27E916">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089" w:type="dxa"/>
            <w:tcBorders>
              <w:top w:val="single" w:color="000000" w:sz="4" w:space="0"/>
              <w:left w:val="single" w:color="000000" w:sz="4" w:space="0"/>
              <w:bottom w:val="single" w:color="000000" w:sz="4" w:space="0"/>
              <w:right w:val="single" w:color="000000" w:sz="4" w:space="0"/>
            </w:tcBorders>
            <w:vAlign w:val="center"/>
          </w:tcPr>
          <w:p w14:paraId="4525EFFF">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111" w:type="dxa"/>
            <w:tcBorders>
              <w:top w:val="single" w:color="000000" w:sz="4" w:space="0"/>
              <w:left w:val="single" w:color="000000" w:sz="4" w:space="0"/>
              <w:bottom w:val="single" w:color="000000" w:sz="4" w:space="0"/>
              <w:right w:val="single" w:color="000000" w:sz="4" w:space="0"/>
            </w:tcBorders>
            <w:vAlign w:val="center"/>
          </w:tcPr>
          <w:p w14:paraId="5B74DEFB">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0</w:t>
            </w:r>
          </w:p>
        </w:tc>
        <w:tc>
          <w:tcPr>
            <w:tcW w:w="1256" w:type="dxa"/>
            <w:tcBorders>
              <w:top w:val="single" w:color="000000" w:sz="4" w:space="0"/>
              <w:left w:val="single" w:color="000000" w:sz="4" w:space="0"/>
              <w:bottom w:val="single" w:color="000000" w:sz="4" w:space="0"/>
              <w:right w:val="single" w:color="000000" w:sz="4" w:space="0"/>
            </w:tcBorders>
            <w:vAlign w:val="center"/>
          </w:tcPr>
          <w:p w14:paraId="2D9B18C1">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3211683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微专业一</w:t>
            </w:r>
          </w:p>
        </w:tc>
      </w:tr>
      <w:tr w14:paraId="1579FF1E">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60D5A128">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lang w:val="en-US" w:eastAsia="zh-CN"/>
              </w:rPr>
              <w:t>2</w:t>
            </w:r>
            <w:r>
              <w:rPr>
                <w:rFonts w:ascii="仿宋" w:hAnsi="仿宋" w:eastAsia="仿宋" w:cs="仿宋"/>
                <w:bCs/>
                <w:sz w:val="24"/>
              </w:rPr>
              <w:t>2</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7E94768F">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集成电路装备概论</w:t>
            </w:r>
          </w:p>
        </w:tc>
        <w:tc>
          <w:tcPr>
            <w:tcW w:w="992" w:type="dxa"/>
            <w:tcBorders>
              <w:top w:val="single" w:color="000000" w:sz="4" w:space="0"/>
              <w:left w:val="single" w:color="000000" w:sz="4" w:space="0"/>
              <w:bottom w:val="single" w:color="000000" w:sz="4" w:space="0"/>
              <w:right w:val="single" w:color="000000" w:sz="4" w:space="0"/>
            </w:tcBorders>
            <w:vAlign w:val="center"/>
          </w:tcPr>
          <w:p w14:paraId="209555E5">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1C0CF51B">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089" w:type="dxa"/>
            <w:tcBorders>
              <w:top w:val="single" w:color="000000" w:sz="4" w:space="0"/>
              <w:left w:val="single" w:color="000000" w:sz="4" w:space="0"/>
              <w:bottom w:val="single" w:color="000000" w:sz="4" w:space="0"/>
              <w:right w:val="single" w:color="000000" w:sz="4" w:space="0"/>
            </w:tcBorders>
            <w:vAlign w:val="center"/>
          </w:tcPr>
          <w:p w14:paraId="3823C827">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111" w:type="dxa"/>
            <w:tcBorders>
              <w:top w:val="single" w:color="000000" w:sz="4" w:space="0"/>
              <w:left w:val="single" w:color="000000" w:sz="4" w:space="0"/>
              <w:bottom w:val="single" w:color="000000" w:sz="4" w:space="0"/>
              <w:right w:val="single" w:color="000000" w:sz="4" w:space="0"/>
            </w:tcBorders>
            <w:vAlign w:val="center"/>
          </w:tcPr>
          <w:p w14:paraId="4FC2549D">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0</w:t>
            </w:r>
          </w:p>
        </w:tc>
        <w:tc>
          <w:tcPr>
            <w:tcW w:w="1256" w:type="dxa"/>
            <w:tcBorders>
              <w:top w:val="single" w:color="000000" w:sz="4" w:space="0"/>
              <w:left w:val="single" w:color="000000" w:sz="4" w:space="0"/>
              <w:bottom w:val="single" w:color="000000" w:sz="4" w:space="0"/>
              <w:right w:val="single" w:color="000000" w:sz="4" w:space="0"/>
            </w:tcBorders>
            <w:vAlign w:val="center"/>
          </w:tcPr>
          <w:p w14:paraId="6D34D9B5">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1F90EA52">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微专业一</w:t>
            </w:r>
          </w:p>
        </w:tc>
      </w:tr>
      <w:tr w14:paraId="6174BFED">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043CE5A3">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lang w:val="en-US" w:eastAsia="zh-CN"/>
              </w:rPr>
              <w:t>3</w:t>
            </w:r>
            <w:r>
              <w:rPr>
                <w:rFonts w:ascii="仿宋" w:hAnsi="仿宋" w:eastAsia="仿宋" w:cs="仿宋"/>
                <w:bCs/>
                <w:sz w:val="24"/>
              </w:rPr>
              <w:t>3</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2F42597C">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pPr>
            <w:r>
              <w:rPr>
                <w:rFonts w:ascii="仿宋" w:hAnsi="仿宋" w:eastAsia="仿宋" w:cs="仿宋"/>
                <w:sz w:val="24"/>
              </w:rPr>
              <w:t>集成电路工艺仿真</w:t>
            </w:r>
          </w:p>
        </w:tc>
        <w:tc>
          <w:tcPr>
            <w:tcW w:w="992" w:type="dxa"/>
            <w:tcBorders>
              <w:top w:val="single" w:color="000000" w:sz="4" w:space="0"/>
              <w:left w:val="single" w:color="000000" w:sz="4" w:space="0"/>
              <w:bottom w:val="single" w:color="000000" w:sz="4" w:space="0"/>
              <w:right w:val="single" w:color="000000" w:sz="4" w:space="0"/>
            </w:tcBorders>
            <w:vAlign w:val="center"/>
          </w:tcPr>
          <w:p w14:paraId="1F6FB786">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1BE0627A">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089" w:type="dxa"/>
            <w:tcBorders>
              <w:top w:val="single" w:color="000000" w:sz="4" w:space="0"/>
              <w:left w:val="single" w:color="000000" w:sz="4" w:space="0"/>
              <w:bottom w:val="single" w:color="000000" w:sz="4" w:space="0"/>
              <w:right w:val="single" w:color="000000" w:sz="4" w:space="0"/>
            </w:tcBorders>
            <w:vAlign w:val="center"/>
          </w:tcPr>
          <w:p w14:paraId="0A2EB126">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0</w:t>
            </w:r>
          </w:p>
        </w:tc>
        <w:tc>
          <w:tcPr>
            <w:tcW w:w="1111" w:type="dxa"/>
            <w:tcBorders>
              <w:top w:val="single" w:color="000000" w:sz="4" w:space="0"/>
              <w:left w:val="single" w:color="000000" w:sz="4" w:space="0"/>
              <w:bottom w:val="single" w:color="000000" w:sz="4" w:space="0"/>
              <w:right w:val="single" w:color="000000" w:sz="4" w:space="0"/>
            </w:tcBorders>
            <w:vAlign w:val="center"/>
          </w:tcPr>
          <w:p w14:paraId="3C4EB594">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256" w:type="dxa"/>
            <w:tcBorders>
              <w:top w:val="single" w:color="000000" w:sz="4" w:space="0"/>
              <w:left w:val="single" w:color="000000" w:sz="4" w:space="0"/>
              <w:bottom w:val="single" w:color="000000" w:sz="4" w:space="0"/>
              <w:right w:val="single" w:color="000000" w:sz="4" w:space="0"/>
            </w:tcBorders>
            <w:vAlign w:val="center"/>
          </w:tcPr>
          <w:p w14:paraId="3298C024">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290FE29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微专业一</w:t>
            </w:r>
          </w:p>
        </w:tc>
      </w:tr>
      <w:tr w14:paraId="59E55DC5">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56F3D7B7">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lang w:val="en-US" w:eastAsia="zh-CN"/>
              </w:rPr>
              <w:t>4</w:t>
            </w:r>
            <w:r>
              <w:rPr>
                <w:rFonts w:ascii="仿宋" w:hAnsi="仿宋" w:eastAsia="仿宋" w:cs="仿宋"/>
                <w:bCs/>
                <w:sz w:val="24"/>
              </w:rPr>
              <w:t>4</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63A7618B">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pPr>
            <w:r>
              <w:rPr>
                <w:rFonts w:hint="eastAsia" w:ascii="仿宋" w:hAnsi="仿宋" w:eastAsia="仿宋" w:cs="仿宋"/>
                <w:sz w:val="24"/>
              </w:rPr>
              <w:t>半导体材料制备与掺杂技术</w:t>
            </w:r>
          </w:p>
        </w:tc>
        <w:tc>
          <w:tcPr>
            <w:tcW w:w="992" w:type="dxa"/>
            <w:tcBorders>
              <w:top w:val="single" w:color="000000" w:sz="4" w:space="0"/>
              <w:left w:val="single" w:color="000000" w:sz="4" w:space="0"/>
              <w:bottom w:val="single" w:color="000000" w:sz="4" w:space="0"/>
              <w:right w:val="single" w:color="000000" w:sz="4" w:space="0"/>
            </w:tcBorders>
            <w:vAlign w:val="center"/>
          </w:tcPr>
          <w:p w14:paraId="2755F813">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281ABDEE">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089" w:type="dxa"/>
            <w:tcBorders>
              <w:top w:val="single" w:color="000000" w:sz="4" w:space="0"/>
              <w:left w:val="single" w:color="000000" w:sz="4" w:space="0"/>
              <w:bottom w:val="single" w:color="000000" w:sz="4" w:space="0"/>
              <w:right w:val="single" w:color="000000" w:sz="4" w:space="0"/>
            </w:tcBorders>
            <w:vAlign w:val="center"/>
          </w:tcPr>
          <w:p w14:paraId="24F522D0">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rPr>
              <w:t>24</w:t>
            </w:r>
          </w:p>
        </w:tc>
        <w:tc>
          <w:tcPr>
            <w:tcW w:w="1111" w:type="dxa"/>
            <w:tcBorders>
              <w:top w:val="single" w:color="000000" w:sz="4" w:space="0"/>
              <w:left w:val="single" w:color="000000" w:sz="4" w:space="0"/>
              <w:bottom w:val="single" w:color="000000" w:sz="4" w:space="0"/>
              <w:right w:val="single" w:color="000000" w:sz="4" w:space="0"/>
            </w:tcBorders>
            <w:vAlign w:val="center"/>
          </w:tcPr>
          <w:p w14:paraId="6B4546BF">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rPr>
              <w:t>8</w:t>
            </w:r>
          </w:p>
        </w:tc>
        <w:tc>
          <w:tcPr>
            <w:tcW w:w="1256" w:type="dxa"/>
            <w:tcBorders>
              <w:top w:val="single" w:color="000000" w:sz="4" w:space="0"/>
              <w:left w:val="single" w:color="000000" w:sz="4" w:space="0"/>
              <w:bottom w:val="single" w:color="000000" w:sz="4" w:space="0"/>
              <w:right w:val="single" w:color="000000" w:sz="4" w:space="0"/>
            </w:tcBorders>
            <w:vAlign w:val="center"/>
          </w:tcPr>
          <w:p w14:paraId="5BB80EA3">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3F1669CB">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微专业二</w:t>
            </w:r>
          </w:p>
        </w:tc>
      </w:tr>
      <w:tr w14:paraId="44ABBCCD">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4F4B4447">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lang w:val="en-US" w:eastAsia="zh-CN"/>
              </w:rPr>
              <w:t>5</w:t>
            </w:r>
            <w:r>
              <w:rPr>
                <w:rFonts w:ascii="仿宋" w:hAnsi="仿宋" w:eastAsia="仿宋" w:cs="仿宋"/>
                <w:bCs/>
                <w:sz w:val="24"/>
              </w:rPr>
              <w:t>5</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15873F59">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pPr>
            <w:r>
              <w:rPr>
                <w:rFonts w:hint="eastAsia" w:ascii="仿宋" w:hAnsi="仿宋" w:eastAsia="仿宋" w:cs="仿宋"/>
                <w:sz w:val="24"/>
              </w:rPr>
              <w:t>图形化与平坦化及互连技术</w:t>
            </w:r>
          </w:p>
        </w:tc>
        <w:tc>
          <w:tcPr>
            <w:tcW w:w="992" w:type="dxa"/>
            <w:tcBorders>
              <w:top w:val="single" w:color="000000" w:sz="4" w:space="0"/>
              <w:left w:val="single" w:color="000000" w:sz="4" w:space="0"/>
              <w:bottom w:val="single" w:color="000000" w:sz="4" w:space="0"/>
              <w:right w:val="single" w:color="000000" w:sz="4" w:space="0"/>
            </w:tcBorders>
            <w:vAlign w:val="center"/>
          </w:tcPr>
          <w:p w14:paraId="0095EDDC">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12D2D110">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32</w:t>
            </w:r>
          </w:p>
        </w:tc>
        <w:tc>
          <w:tcPr>
            <w:tcW w:w="1089" w:type="dxa"/>
            <w:tcBorders>
              <w:top w:val="single" w:color="000000" w:sz="4" w:space="0"/>
              <w:left w:val="single" w:color="000000" w:sz="4" w:space="0"/>
              <w:bottom w:val="single" w:color="000000" w:sz="4" w:space="0"/>
              <w:right w:val="single" w:color="000000" w:sz="4" w:space="0"/>
            </w:tcBorders>
            <w:vAlign w:val="center"/>
          </w:tcPr>
          <w:p w14:paraId="3CAB18DF">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rPr>
              <w:t>24</w:t>
            </w:r>
          </w:p>
        </w:tc>
        <w:tc>
          <w:tcPr>
            <w:tcW w:w="1111" w:type="dxa"/>
            <w:tcBorders>
              <w:top w:val="single" w:color="000000" w:sz="4" w:space="0"/>
              <w:left w:val="single" w:color="000000" w:sz="4" w:space="0"/>
              <w:bottom w:val="single" w:color="000000" w:sz="4" w:space="0"/>
              <w:right w:val="single" w:color="000000" w:sz="4" w:space="0"/>
            </w:tcBorders>
            <w:vAlign w:val="center"/>
          </w:tcPr>
          <w:p w14:paraId="0AE601FD">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rPr>
              <w:t>8</w:t>
            </w:r>
          </w:p>
        </w:tc>
        <w:tc>
          <w:tcPr>
            <w:tcW w:w="1256" w:type="dxa"/>
            <w:tcBorders>
              <w:top w:val="single" w:color="000000" w:sz="4" w:space="0"/>
              <w:left w:val="single" w:color="000000" w:sz="4" w:space="0"/>
              <w:bottom w:val="single" w:color="000000" w:sz="4" w:space="0"/>
              <w:right w:val="single" w:color="000000" w:sz="4" w:space="0"/>
            </w:tcBorders>
            <w:vAlign w:val="center"/>
          </w:tcPr>
          <w:p w14:paraId="34E6EFF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1A90EB9E">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微专业二</w:t>
            </w:r>
          </w:p>
        </w:tc>
      </w:tr>
      <w:tr w14:paraId="475B5FD6">
        <w:tblPrEx>
          <w:tblCellMar>
            <w:top w:w="0" w:type="dxa"/>
            <w:left w:w="108" w:type="dxa"/>
            <w:bottom w:w="0" w:type="dxa"/>
            <w:right w:w="108" w:type="dxa"/>
          </w:tblCellMar>
        </w:tblPrEx>
        <w:trPr>
          <w:trHeight w:val="454"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14:paraId="0B76EB5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auto"/>
              <w:rPr>
                <w:rFonts w:hint="eastAsia" w:ascii="仿宋" w:hAnsi="仿宋" w:eastAsia="仿宋" w:cs="仿宋"/>
                <w:bCs/>
                <w:sz w:val="24"/>
              </w:rPr>
            </w:pP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6C2F9E3B">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合计</w:t>
            </w:r>
          </w:p>
        </w:tc>
        <w:tc>
          <w:tcPr>
            <w:tcW w:w="992" w:type="dxa"/>
            <w:tcBorders>
              <w:top w:val="single" w:color="000000" w:sz="4" w:space="0"/>
              <w:left w:val="single" w:color="000000" w:sz="4" w:space="0"/>
              <w:bottom w:val="single" w:color="000000" w:sz="4" w:space="0"/>
              <w:right w:val="single" w:color="000000" w:sz="4" w:space="0"/>
            </w:tcBorders>
            <w:vAlign w:val="center"/>
          </w:tcPr>
          <w:p w14:paraId="79D622A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1</w:t>
            </w:r>
            <w:r>
              <w:rPr>
                <w:rFonts w:hint="eastAsia" w:ascii="仿宋" w:hAnsi="仿宋" w:eastAsia="仿宋" w:cs="仿宋"/>
                <w:bCs/>
                <w:sz w:val="24"/>
              </w:rPr>
              <w:t>0</w:t>
            </w:r>
          </w:p>
        </w:tc>
        <w:tc>
          <w:tcPr>
            <w:tcW w:w="1186" w:type="dxa"/>
            <w:tcBorders>
              <w:top w:val="single" w:color="000000" w:sz="4" w:space="0"/>
              <w:left w:val="single" w:color="000000" w:sz="4" w:space="0"/>
              <w:bottom w:val="single" w:color="000000" w:sz="4" w:space="0"/>
              <w:right w:val="single" w:color="000000" w:sz="4" w:space="0"/>
            </w:tcBorders>
            <w:vAlign w:val="center"/>
          </w:tcPr>
          <w:p w14:paraId="26FC9685">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default" w:ascii="仿宋" w:hAnsi="仿宋" w:eastAsia="仿宋" w:cs="仿宋"/>
                <w:bCs/>
                <w:sz w:val="24"/>
                <w:lang w:val="en-US" w:eastAsia="zh-CN"/>
              </w:rPr>
            </w:pPr>
            <w:r>
              <w:rPr>
                <w:rFonts w:hint="eastAsia" w:ascii="仿宋" w:hAnsi="仿宋" w:eastAsia="仿宋" w:cs="仿宋"/>
                <w:bCs/>
                <w:sz w:val="24"/>
                <w:lang w:val="en-US" w:eastAsia="zh-CN"/>
              </w:rPr>
              <w:t>160</w:t>
            </w:r>
          </w:p>
        </w:tc>
        <w:tc>
          <w:tcPr>
            <w:tcW w:w="1089" w:type="dxa"/>
            <w:tcBorders>
              <w:top w:val="single" w:color="000000" w:sz="4" w:space="0"/>
              <w:left w:val="single" w:color="000000" w:sz="4" w:space="0"/>
              <w:bottom w:val="single" w:color="000000" w:sz="4" w:space="0"/>
              <w:right w:val="single" w:color="000000" w:sz="4" w:space="0"/>
            </w:tcBorders>
            <w:vAlign w:val="center"/>
          </w:tcPr>
          <w:p w14:paraId="43274029">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hint="eastAsia" w:ascii="仿宋" w:hAnsi="仿宋" w:eastAsia="仿宋" w:cs="仿宋"/>
                <w:bCs/>
                <w:sz w:val="24"/>
              </w:rPr>
              <w:t>112</w:t>
            </w:r>
          </w:p>
        </w:tc>
        <w:tc>
          <w:tcPr>
            <w:tcW w:w="1111" w:type="dxa"/>
            <w:tcBorders>
              <w:top w:val="single" w:color="000000" w:sz="4" w:space="0"/>
              <w:left w:val="single" w:color="000000" w:sz="4" w:space="0"/>
              <w:bottom w:val="single" w:color="000000" w:sz="4" w:space="0"/>
              <w:right w:val="single" w:color="000000" w:sz="4" w:space="0"/>
            </w:tcBorders>
            <w:vAlign w:val="center"/>
          </w:tcPr>
          <w:p w14:paraId="53D5488C">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48</w:t>
            </w:r>
          </w:p>
        </w:tc>
        <w:tc>
          <w:tcPr>
            <w:tcW w:w="1256" w:type="dxa"/>
            <w:tcBorders>
              <w:top w:val="single" w:color="000000" w:sz="4" w:space="0"/>
              <w:left w:val="single" w:color="000000" w:sz="4" w:space="0"/>
              <w:bottom w:val="single" w:color="000000" w:sz="4" w:space="0"/>
              <w:right w:val="single" w:color="000000" w:sz="4" w:space="0"/>
            </w:tcBorders>
            <w:vAlign w:val="center"/>
          </w:tcPr>
          <w:p w14:paraId="384D1307">
            <w:pPr>
              <w:keepNext w:val="0"/>
              <w:keepLines w:val="0"/>
              <w:pageBreakBefore w:val="0"/>
              <w:widowControl/>
              <w:kinsoku/>
              <w:wordWrap/>
              <w:overflowPunct/>
              <w:topLinePunct w:val="0"/>
              <w:autoSpaceDE/>
              <w:autoSpaceDN/>
              <w:bidi w:val="0"/>
              <w:adjustRightInd/>
              <w:spacing w:line="360" w:lineRule="auto"/>
              <w:ind w:firstLine="480" w:firstLineChars="200"/>
              <w:jc w:val="center"/>
              <w:textAlignment w:val="auto"/>
              <w:rPr>
                <w:rFonts w:hint="eastAsia" w:ascii="仿宋" w:hAnsi="仿宋" w:eastAsia="仿宋" w:cs="仿宋"/>
                <w:bCs/>
                <w:sz w:val="24"/>
              </w:rPr>
            </w:pPr>
            <w:r>
              <w:rPr>
                <w:rFonts w:ascii="仿宋" w:hAnsi="仿宋" w:eastAsia="仿宋" w:cs="仿宋"/>
                <w:bCs/>
                <w:sz w:val="24"/>
              </w:rPr>
              <w:t>混合</w:t>
            </w:r>
          </w:p>
        </w:tc>
        <w:tc>
          <w:tcPr>
            <w:tcW w:w="1722" w:type="dxa"/>
            <w:tcBorders>
              <w:top w:val="single" w:color="000000" w:sz="4" w:space="0"/>
              <w:left w:val="single" w:color="000000" w:sz="4" w:space="0"/>
              <w:bottom w:val="single" w:color="000000" w:sz="4" w:space="0"/>
              <w:right w:val="single" w:color="000000" w:sz="4" w:space="0"/>
            </w:tcBorders>
            <w:vAlign w:val="center"/>
          </w:tcPr>
          <w:p w14:paraId="7FDFCA28">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auto"/>
              <w:rPr>
                <w:rFonts w:hint="eastAsia" w:ascii="仿宋" w:hAnsi="仿宋" w:eastAsia="仿宋" w:cs="仿宋"/>
                <w:bCs/>
                <w:sz w:val="24"/>
                <w:highlight w:val="yellow"/>
              </w:rPr>
            </w:pPr>
          </w:p>
        </w:tc>
      </w:tr>
      <w:tr w14:paraId="259F277E">
        <w:tblPrEx>
          <w:tblCellMar>
            <w:top w:w="0" w:type="dxa"/>
            <w:left w:w="108" w:type="dxa"/>
            <w:bottom w:w="0" w:type="dxa"/>
            <w:right w:w="108" w:type="dxa"/>
          </w:tblCellMar>
        </w:tblPrEx>
        <w:trPr>
          <w:trHeight w:val="350" w:hRule="atLeast"/>
          <w:jc w:val="center"/>
        </w:trPr>
        <w:tc>
          <w:tcPr>
            <w:tcW w:w="169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7785F99">
            <w:pPr>
              <w:keepNext w:val="0"/>
              <w:keepLines w:val="0"/>
              <w:pageBreakBefore w:val="0"/>
              <w:widowControl/>
              <w:kinsoku/>
              <w:wordWrap/>
              <w:overflowPunct/>
              <w:topLinePunct w:val="0"/>
              <w:autoSpaceDE/>
              <w:autoSpaceDN/>
              <w:bidi w:val="0"/>
              <w:adjustRightInd/>
              <w:spacing w:line="360" w:lineRule="auto"/>
              <w:ind w:firstLine="562" w:firstLineChars="200"/>
              <w:jc w:val="center"/>
              <w:textAlignment w:val="auto"/>
              <w:rPr>
                <w:rFonts w:hint="eastAsia" w:ascii="仿宋" w:hAnsi="仿宋" w:eastAsia="仿宋" w:cs="仿宋"/>
                <w:b/>
                <w:spacing w:val="20"/>
                <w:sz w:val="24"/>
              </w:rPr>
            </w:pPr>
            <w:r>
              <w:rPr>
                <w:rFonts w:ascii="仿宋" w:hAnsi="仿宋" w:eastAsia="仿宋" w:cs="仿宋"/>
                <w:b/>
                <w:spacing w:val="20"/>
                <w:sz w:val="24"/>
              </w:rPr>
              <w:t>课程</w:t>
            </w:r>
          </w:p>
          <w:p w14:paraId="7FF835AA">
            <w:pPr>
              <w:keepNext w:val="0"/>
              <w:keepLines w:val="0"/>
              <w:pageBreakBefore w:val="0"/>
              <w:widowControl/>
              <w:kinsoku/>
              <w:wordWrap/>
              <w:overflowPunct/>
              <w:topLinePunct w:val="0"/>
              <w:autoSpaceDE/>
              <w:autoSpaceDN/>
              <w:bidi w:val="0"/>
              <w:adjustRightInd/>
              <w:spacing w:line="360" w:lineRule="auto"/>
              <w:ind w:firstLine="562" w:firstLineChars="200"/>
              <w:jc w:val="center"/>
              <w:textAlignment w:val="auto"/>
              <w:rPr>
                <w:rFonts w:hint="eastAsia" w:ascii="仿宋" w:hAnsi="仿宋" w:eastAsia="仿宋" w:cs="仿宋"/>
                <w:b/>
                <w:spacing w:val="20"/>
                <w:sz w:val="24"/>
              </w:rPr>
            </w:pPr>
            <w:r>
              <w:rPr>
                <w:rFonts w:ascii="仿宋" w:hAnsi="仿宋" w:eastAsia="仿宋" w:cs="仿宋"/>
                <w:b/>
                <w:spacing w:val="20"/>
                <w:sz w:val="24"/>
              </w:rPr>
              <w:t>简介</w:t>
            </w:r>
          </w:p>
        </w:tc>
        <w:tc>
          <w:tcPr>
            <w:tcW w:w="8774" w:type="dxa"/>
            <w:gridSpan w:val="7"/>
            <w:tcBorders>
              <w:top w:val="single" w:color="000000" w:sz="4" w:space="0"/>
              <w:left w:val="single" w:color="000000" w:sz="4" w:space="0"/>
              <w:bottom w:val="single" w:color="000000" w:sz="4" w:space="0"/>
              <w:right w:val="single" w:color="000000" w:sz="4" w:space="0"/>
            </w:tcBorders>
          </w:tcPr>
          <w:p w14:paraId="702FA6BA">
            <w:pPr>
              <w:keepNext w:val="0"/>
              <w:keepLines w:val="0"/>
              <w:pageBreakBefore w:val="0"/>
              <w:widowControl/>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rPr>
            </w:pPr>
            <w:r>
              <w:rPr>
                <w:rFonts w:ascii="仿宋" w:hAnsi="仿宋" w:eastAsia="仿宋" w:cs="仿宋"/>
                <w:b/>
                <w:sz w:val="24"/>
              </w:rPr>
              <w:t>课程1：集成电路导论</w:t>
            </w:r>
          </w:p>
          <w:p w14:paraId="6F1C2408">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sz w:val="24"/>
              </w:rPr>
            </w:pPr>
            <w:r>
              <w:rPr>
                <w:rFonts w:ascii="仿宋" w:hAnsi="仿宋" w:eastAsia="仿宋" w:cs="仿宋"/>
                <w:bCs/>
                <w:sz w:val="24"/>
              </w:rPr>
              <w:t>集成电路导论课程旨在介绍集成电路学科的最新发展和前沿领域。通过本课程的学习，有助于学生了解微电子技术的发展历史，掌握基本原理和工艺过程等基本知识。对生活中微电子技术的应用和原理介绍，帮助学生观察和体验生活中微电子科研设备。增进学生自我主动学习，扩展学生能力，积极了解相关技术的前沿动态。</w:t>
            </w:r>
          </w:p>
        </w:tc>
      </w:tr>
      <w:tr w14:paraId="491FE6ED">
        <w:tblPrEx>
          <w:tblCellMar>
            <w:top w:w="0" w:type="dxa"/>
            <w:left w:w="108" w:type="dxa"/>
            <w:bottom w:w="0" w:type="dxa"/>
            <w:right w:w="108" w:type="dxa"/>
          </w:tblCellMar>
        </w:tblPrEx>
        <w:trPr>
          <w:trHeight w:val="90" w:hRule="atLeast"/>
          <w:jc w:val="center"/>
        </w:trPr>
        <w:tc>
          <w:tcPr>
            <w:tcW w:w="16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5BAC57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auto"/>
              <w:rPr>
                <w:rFonts w:hint="eastAsia" w:ascii="仿宋" w:hAnsi="仿宋" w:eastAsia="仿宋" w:cs="仿宋"/>
                <w:bCs/>
                <w:sz w:val="24"/>
              </w:rPr>
            </w:pPr>
          </w:p>
        </w:tc>
        <w:tc>
          <w:tcPr>
            <w:tcW w:w="8774" w:type="dxa"/>
            <w:gridSpan w:val="7"/>
            <w:tcBorders>
              <w:top w:val="single" w:color="000000" w:sz="4" w:space="0"/>
              <w:left w:val="single" w:color="000000" w:sz="4" w:space="0"/>
              <w:bottom w:val="single" w:color="000000" w:sz="4" w:space="0"/>
              <w:right w:val="single" w:color="000000" w:sz="4" w:space="0"/>
            </w:tcBorders>
          </w:tcPr>
          <w:p w14:paraId="49375FDE">
            <w:pPr>
              <w:keepNext w:val="0"/>
              <w:keepLines w:val="0"/>
              <w:pageBreakBefore w:val="0"/>
              <w:widowControl/>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rPr>
            </w:pPr>
            <w:r>
              <w:rPr>
                <w:rFonts w:ascii="仿宋" w:hAnsi="仿宋" w:eastAsia="仿宋" w:cs="仿宋"/>
                <w:b/>
                <w:sz w:val="24"/>
              </w:rPr>
              <w:t>课程2：集成电路装备概论</w:t>
            </w:r>
          </w:p>
          <w:p w14:paraId="14A2EB0C">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Cs/>
                <w:sz w:val="24"/>
              </w:rPr>
            </w:pPr>
            <w:r>
              <w:rPr>
                <w:rFonts w:ascii="仿宋" w:hAnsi="仿宋" w:eastAsia="仿宋" w:cs="仿宋"/>
                <w:bCs/>
                <w:sz w:val="24"/>
              </w:rPr>
              <w:t>课程旨在系统介绍支撑半导体产业发展的工业设备及其前沿技术。通过本课程的学习，有助于学生深入了解集成电路中从晶圆加工前端到封装测试后端的全产业链设备体系，重点涵盖光刻、刻蚀、薄膜沉积、离子注入、清洗、CMP、氧化扩散等前端制造关键装备，以及减薄划片、引线键合、塑封等封装装备，和探针台、分选机、测试机等检测装备在内的多类基础设备的基本原理与工艺架构。课程通过对各装备在实际生产中应用逻辑的解析，帮助学生观察和体验微电子科研与工业生产中的专业硬件环境。增进学生对复杂工程问题的跨学科思考能力，扩展专业视野，积极引导学生关注国产半导体装备的自主攻坚动态与国际前沿技术趋势。</w:t>
            </w:r>
          </w:p>
        </w:tc>
      </w:tr>
      <w:tr w14:paraId="4E1AA304">
        <w:tblPrEx>
          <w:tblCellMar>
            <w:top w:w="0" w:type="dxa"/>
            <w:left w:w="108" w:type="dxa"/>
            <w:bottom w:w="0" w:type="dxa"/>
            <w:right w:w="108" w:type="dxa"/>
          </w:tblCellMar>
        </w:tblPrEx>
        <w:trPr>
          <w:trHeight w:val="1762" w:hRule="atLeast"/>
          <w:jc w:val="center"/>
        </w:trPr>
        <w:tc>
          <w:tcPr>
            <w:tcW w:w="16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7EAFB72">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center"/>
              <w:textAlignment w:val="auto"/>
              <w:rPr>
                <w:rFonts w:hint="eastAsia" w:ascii="仿宋" w:hAnsi="仿宋" w:eastAsia="仿宋" w:cs="仿宋"/>
                <w:b/>
                <w:bCs/>
                <w:sz w:val="24"/>
              </w:rPr>
            </w:pPr>
          </w:p>
        </w:tc>
        <w:tc>
          <w:tcPr>
            <w:tcW w:w="8774" w:type="dxa"/>
            <w:gridSpan w:val="7"/>
            <w:tcBorders>
              <w:top w:val="single" w:color="000000" w:sz="4" w:space="0"/>
              <w:left w:val="single" w:color="000000" w:sz="4" w:space="0"/>
              <w:bottom w:val="single" w:color="000000" w:sz="4" w:space="0"/>
              <w:right w:val="single" w:color="000000" w:sz="4" w:space="0"/>
            </w:tcBorders>
            <w:vAlign w:val="center"/>
          </w:tcPr>
          <w:p w14:paraId="3CBD2D17">
            <w:pPr>
              <w:keepNext w:val="0"/>
              <w:keepLines w:val="0"/>
              <w:pageBreakBefore w:val="0"/>
              <w:kinsoku/>
              <w:wordWrap/>
              <w:overflowPunct/>
              <w:topLinePunct w:val="0"/>
              <w:autoSpaceDE/>
              <w:autoSpaceDN/>
              <w:bidi w:val="0"/>
              <w:adjustRightInd/>
              <w:spacing w:line="360" w:lineRule="auto"/>
              <w:ind w:firstLine="482" w:firstLineChars="200"/>
              <w:textAlignment w:val="auto"/>
              <w:rPr>
                <w:b/>
                <w:bCs/>
              </w:rPr>
            </w:pPr>
            <w:r>
              <w:rPr>
                <w:rFonts w:ascii="仿宋" w:hAnsi="仿宋" w:eastAsia="仿宋" w:cs="仿宋"/>
                <w:b/>
                <w:bCs/>
                <w:sz w:val="24"/>
              </w:rPr>
              <w:t>课程3：集成电路工艺仿真</w:t>
            </w:r>
          </w:p>
          <w:p w14:paraId="479C314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rPr>
            </w:pPr>
            <w:r>
              <w:rPr>
                <w:rFonts w:ascii="仿宋" w:hAnsi="仿宋" w:eastAsia="仿宋" w:cs="仿宋"/>
                <w:sz w:val="24"/>
              </w:rPr>
              <w:t>本课程作为集成电路制造微专业的核心实践模块，围绕晶圆制造工艺建模与器件结构分析展开，系统介绍工艺仿真软件的基本原理、建模流程和工程应用。课程内容涵盖氧化、扩散、离子注入、薄膜沉积、刻蚀、退火及器件结构构建等典型制程仿真方法，结合工艺参数对掺杂分布、结深、膜层厚度、关键尺寸和器件电学特性的影响分析，帮助学生建立“工艺—结构—性能”之间的关联。课程通过案例演示与上机实践，使学生初步掌握工艺窗口分析、参数优化和仿真结果解读方法，为后续理解制造工艺开发、制程整合和良率提升奠定基础。</w:t>
            </w:r>
          </w:p>
        </w:tc>
      </w:tr>
      <w:tr w14:paraId="49697683">
        <w:tblPrEx>
          <w:tblCellMar>
            <w:top w:w="0" w:type="dxa"/>
            <w:left w:w="108" w:type="dxa"/>
            <w:bottom w:w="0" w:type="dxa"/>
            <w:right w:w="108" w:type="dxa"/>
          </w:tblCellMar>
        </w:tblPrEx>
        <w:trPr>
          <w:trHeight w:val="684" w:hRule="atLeast"/>
          <w:jc w:val="center"/>
        </w:trPr>
        <w:tc>
          <w:tcPr>
            <w:tcW w:w="16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EECBBD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auto"/>
              <w:rPr>
                <w:rFonts w:hint="eastAsia" w:ascii="仿宋" w:hAnsi="仿宋" w:eastAsia="仿宋" w:cs="仿宋"/>
                <w:bCs/>
                <w:sz w:val="24"/>
              </w:rPr>
            </w:pPr>
          </w:p>
        </w:tc>
        <w:tc>
          <w:tcPr>
            <w:tcW w:w="8774" w:type="dxa"/>
            <w:gridSpan w:val="7"/>
            <w:tcBorders>
              <w:top w:val="single" w:color="000000" w:sz="4" w:space="0"/>
              <w:left w:val="single" w:color="000000" w:sz="4" w:space="0"/>
              <w:bottom w:val="single" w:color="000000" w:sz="4" w:space="0"/>
              <w:right w:val="single" w:color="000000" w:sz="4" w:space="0"/>
            </w:tcBorders>
            <w:vAlign w:val="center"/>
          </w:tcPr>
          <w:p w14:paraId="0AEE72A9">
            <w:pPr>
              <w:keepNext w:val="0"/>
              <w:keepLines w:val="0"/>
              <w:pageBreakBefore w:val="0"/>
              <w:kinsoku/>
              <w:wordWrap/>
              <w:overflowPunct/>
              <w:topLinePunct w:val="0"/>
              <w:autoSpaceDE/>
              <w:autoSpaceDN/>
              <w:bidi w:val="0"/>
              <w:adjustRightInd/>
              <w:spacing w:line="360" w:lineRule="auto"/>
              <w:ind w:firstLine="482" w:firstLineChars="200"/>
              <w:textAlignment w:val="auto"/>
              <w:rPr>
                <w:b/>
                <w:bCs/>
              </w:rPr>
            </w:pPr>
            <w:r>
              <w:rPr>
                <w:rFonts w:ascii="仿宋" w:hAnsi="仿宋" w:eastAsia="仿宋" w:cs="仿宋"/>
                <w:b/>
                <w:bCs/>
                <w:sz w:val="24"/>
              </w:rPr>
              <w:t>课程4：</w:t>
            </w:r>
            <w:r>
              <w:rPr>
                <w:rFonts w:hint="eastAsia" w:ascii="仿宋" w:hAnsi="仿宋" w:eastAsia="仿宋" w:cs="仿宋"/>
                <w:b/>
                <w:bCs/>
                <w:sz w:val="24"/>
              </w:rPr>
              <w:t>半导体材料制备与掺杂技术</w:t>
            </w:r>
          </w:p>
          <w:p w14:paraId="78B16B2C">
            <w:pPr>
              <w:keepNext w:val="0"/>
              <w:keepLines w:val="0"/>
              <w:pageBreakBefore w:val="0"/>
              <w:kinsoku/>
              <w:wordWrap/>
              <w:overflowPunct/>
              <w:topLinePunct w:val="0"/>
              <w:autoSpaceDE/>
              <w:autoSpaceDN/>
              <w:bidi w:val="0"/>
              <w:adjustRightInd/>
              <w:spacing w:line="360" w:lineRule="auto"/>
              <w:ind w:firstLine="480" w:firstLineChars="200"/>
              <w:textAlignment w:val="auto"/>
            </w:pPr>
            <w:r>
              <w:rPr>
                <w:rFonts w:hint="eastAsia" w:ascii="仿宋" w:hAnsi="仿宋" w:eastAsia="仿宋" w:cs="仿宋"/>
                <w:sz w:val="24"/>
              </w:rPr>
              <w:t>本课程面向集成电路前道制造中的关键材料形成与电学改性需求，系统讲授薄膜沉积、外延生长与掺杂调控的基本原理、设备构成及工业应用。课程内容重点涵盖化学气相沉积、物理气相沉积、原子层沉积、热氧化等薄膜制备技术，以及气相外延、分子束外延、选择性外延等晶体生长工艺，同时深入讨论离子注入、热扩散、退火激活等掺杂调控手段。课程分析膜层厚度、均匀性、应力、缺陷、掺杂浓度、结深及外延结构对器件性能与制造良率的影响，强调材料形成过程与先进制程节点需求之间的内在联系。通过本课程学习，学生将理解晶圆制造中薄膜质量控制、外延结构调控与掺杂激活的工程逻辑，培养面向工艺开发和设备应用的综合分析能力。</w:t>
            </w:r>
          </w:p>
        </w:tc>
      </w:tr>
      <w:tr w14:paraId="4759BAB6">
        <w:tblPrEx>
          <w:tblCellMar>
            <w:top w:w="0" w:type="dxa"/>
            <w:left w:w="108" w:type="dxa"/>
            <w:bottom w:w="0" w:type="dxa"/>
            <w:right w:w="108" w:type="dxa"/>
          </w:tblCellMar>
        </w:tblPrEx>
        <w:trPr>
          <w:trHeight w:val="1762" w:hRule="atLeast"/>
          <w:jc w:val="center"/>
        </w:trPr>
        <w:tc>
          <w:tcPr>
            <w:tcW w:w="16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DF45F6C">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auto"/>
              <w:rPr>
                <w:rFonts w:hint="eastAsia" w:ascii="仿宋" w:hAnsi="仿宋" w:eastAsia="仿宋" w:cs="仿宋"/>
                <w:bCs/>
                <w:sz w:val="24"/>
              </w:rPr>
            </w:pPr>
          </w:p>
        </w:tc>
        <w:tc>
          <w:tcPr>
            <w:tcW w:w="8774" w:type="dxa"/>
            <w:gridSpan w:val="7"/>
            <w:tcBorders>
              <w:top w:val="single" w:color="000000" w:sz="4" w:space="0"/>
              <w:left w:val="single" w:color="000000" w:sz="4" w:space="0"/>
              <w:bottom w:val="single" w:color="000000" w:sz="4" w:space="0"/>
              <w:right w:val="single" w:color="000000" w:sz="4" w:space="0"/>
            </w:tcBorders>
            <w:vAlign w:val="center"/>
          </w:tcPr>
          <w:p w14:paraId="52FD9849">
            <w:pPr>
              <w:keepNext w:val="0"/>
              <w:keepLines w:val="0"/>
              <w:pageBreakBefore w:val="0"/>
              <w:kinsoku/>
              <w:wordWrap/>
              <w:overflowPunct/>
              <w:topLinePunct w:val="0"/>
              <w:autoSpaceDE/>
              <w:autoSpaceDN/>
              <w:bidi w:val="0"/>
              <w:adjustRightInd/>
              <w:spacing w:line="360" w:lineRule="auto"/>
              <w:ind w:firstLine="482" w:firstLineChars="200"/>
              <w:textAlignment w:val="auto"/>
              <w:rPr>
                <w:b/>
                <w:bCs/>
              </w:rPr>
            </w:pPr>
            <w:r>
              <w:rPr>
                <w:rFonts w:ascii="仿宋" w:hAnsi="仿宋" w:eastAsia="仿宋" w:cs="仿宋"/>
                <w:b/>
                <w:bCs/>
                <w:sz w:val="24"/>
              </w:rPr>
              <w:t>课程5：</w:t>
            </w:r>
            <w:r>
              <w:rPr>
                <w:rFonts w:hint="eastAsia" w:ascii="仿宋" w:hAnsi="仿宋" w:eastAsia="仿宋" w:cs="仿宋"/>
                <w:b/>
                <w:bCs/>
                <w:sz w:val="24"/>
              </w:rPr>
              <w:t>图形化与平坦化及互连技术</w:t>
            </w:r>
          </w:p>
          <w:p w14:paraId="65C811A4">
            <w:pPr>
              <w:keepNext w:val="0"/>
              <w:keepLines w:val="0"/>
              <w:pageBreakBefore w:val="0"/>
              <w:kinsoku/>
              <w:wordWrap/>
              <w:overflowPunct/>
              <w:topLinePunct w:val="0"/>
              <w:autoSpaceDE/>
              <w:autoSpaceDN/>
              <w:bidi w:val="0"/>
              <w:adjustRightInd/>
              <w:spacing w:line="360" w:lineRule="auto"/>
              <w:ind w:firstLine="480" w:firstLineChars="200"/>
              <w:textAlignment w:val="auto"/>
            </w:pPr>
            <w:r>
              <w:rPr>
                <w:rFonts w:hint="eastAsia" w:ascii="仿宋" w:hAnsi="仿宋" w:eastAsia="仿宋" w:cs="仿宋"/>
                <w:sz w:val="24"/>
              </w:rPr>
              <w:t>本课程围绕集成电路从电路图形定义到功能互连的完整制造主线，系统讲授光刻、刻蚀、化学机械抛光与金属互连技术的基本原理、关键设备及工艺控制方法。课程内容涵盖光刻胶涂布、曝光、显影、对准套刻、分辨率与景深控制，干法刻蚀与湿法刻蚀的选择比、各向异性及侧壁形貌控制，化学机械抛光的材料去除机理、平坦化均匀性、端点检测与缺陷控制，以及接触孔、通孔、金属布线、阻挡层/种子层、电镀铜、钨塞和低介电常数材料等后道互连关键技术。课程结合先进制造中的多重图形化、等离子体刻蚀、双大马士革工艺及RC延迟优化等案例，帮助学生理解图形设计如何准确转化为晶圆上的微纳结构，并进一步通过平坦化与金属化实现可靠电学连接，掌握影响线宽、形貌、互连可靠性和良率的关键因素，培养学生面向先进制造工程的系统化工艺思维与制程优化能力。</w:t>
            </w:r>
          </w:p>
        </w:tc>
      </w:tr>
    </w:tbl>
    <w:p w14:paraId="585CB4CD">
      <w:pPr>
        <w:keepNext w:val="0"/>
        <w:keepLines w:val="0"/>
        <w:pageBreakBefore w:val="0"/>
        <w:kinsoku/>
        <w:wordWrap/>
        <w:overflowPunct/>
        <w:topLinePunct w:val="0"/>
        <w:autoSpaceDE/>
        <w:autoSpaceDN/>
        <w:bidi w:val="0"/>
        <w:adjustRightInd/>
        <w:spacing w:line="360" w:lineRule="auto"/>
        <w:ind w:firstLine="420" w:firstLineChars="200"/>
        <w:textAlignment w:val="auto"/>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0" w:footer="0" w:gutter="0"/>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Liberation Sans">
    <w:altName w:val="Arial"/>
    <w:panose1 w:val="00000000000000000000"/>
    <w:charset w:val="00"/>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仿宋">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B9B4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76A1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F4AE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3C5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0E29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08E0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autoHyphenation/>
  <w:hyphenationZone w:val="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M2sDQ3szAxNTMzMzFV0lEKTi0uzszPAykwqgUAUJWuDiwAAAA="/>
  </w:docVars>
  <w:rsids>
    <w:rsidRoot w:val="00DE7F4A"/>
    <w:rsid w:val="00325B65"/>
    <w:rsid w:val="004377D9"/>
    <w:rsid w:val="0045301E"/>
    <w:rsid w:val="00460844"/>
    <w:rsid w:val="005B6ED8"/>
    <w:rsid w:val="005E2FFE"/>
    <w:rsid w:val="006136E2"/>
    <w:rsid w:val="00623671"/>
    <w:rsid w:val="007C488B"/>
    <w:rsid w:val="008C1E3B"/>
    <w:rsid w:val="00A70238"/>
    <w:rsid w:val="00AC2712"/>
    <w:rsid w:val="00B677D9"/>
    <w:rsid w:val="00C92B50"/>
    <w:rsid w:val="00D14A5B"/>
    <w:rsid w:val="00DE7F4A"/>
    <w:rsid w:val="00E3424F"/>
    <w:rsid w:val="00E63607"/>
    <w:rsid w:val="00FB7E2B"/>
    <w:rsid w:val="1C856F32"/>
    <w:rsid w:val="1D757313"/>
    <w:rsid w:val="31F95539"/>
    <w:rsid w:val="45C67B21"/>
    <w:rsid w:val="46ED0AF6"/>
    <w:rsid w:val="503C55AF"/>
    <w:rsid w:val="54F86D19"/>
    <w:rsid w:val="551C4253"/>
    <w:rsid w:val="5F452BF9"/>
    <w:rsid w:val="67402177"/>
    <w:rsid w:val="6EC40BD2"/>
    <w:rsid w:val="70275A7D"/>
    <w:rsid w:val="795776AC"/>
    <w:rsid w:val="79FD0C2C"/>
    <w:rsid w:val="7B8A0663"/>
    <w:rsid w:val="7C421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Lohit Devanagari"/>
      <w:i/>
      <w:iCs/>
      <w:sz w:val="24"/>
    </w:rPr>
  </w:style>
  <w:style w:type="paragraph" w:styleId="3">
    <w:name w:val="Body Text"/>
    <w:basedOn w:val="1"/>
    <w:qFormat/>
    <w:uiPriority w:val="0"/>
    <w:pPr>
      <w:spacing w:after="140" w:line="276" w:lineRule="auto"/>
    </w:pPr>
  </w:style>
  <w:style w:type="paragraph" w:styleId="4">
    <w:name w:val="footer"/>
    <w:basedOn w:val="1"/>
    <w:link w:val="20"/>
    <w:qFormat/>
    <w:uiPriority w:val="0"/>
    <w:pPr>
      <w:tabs>
        <w:tab w:val="center" w:pos="4320"/>
        <w:tab w:val="right" w:pos="8640"/>
      </w:tabs>
    </w:pPr>
  </w:style>
  <w:style w:type="paragraph" w:styleId="5">
    <w:name w:val="header"/>
    <w:basedOn w:val="1"/>
    <w:link w:val="19"/>
    <w:qFormat/>
    <w:uiPriority w:val="0"/>
    <w:pPr>
      <w:tabs>
        <w:tab w:val="center" w:pos="4320"/>
        <w:tab w:val="right" w:pos="8640"/>
      </w:tabs>
    </w:pPr>
  </w:style>
  <w:style w:type="paragraph" w:styleId="6">
    <w:name w:val="List"/>
    <w:basedOn w:val="3"/>
    <w:qFormat/>
    <w:uiPriority w:val="0"/>
    <w:rPr>
      <w:rFonts w:cs="Lohit Devanagari"/>
    </w:rPr>
  </w:style>
  <w:style w:type="character" w:styleId="9">
    <w:name w:val="Strong"/>
    <w:qFormat/>
    <w:uiPriority w:val="0"/>
    <w:rPr>
      <w:b/>
    </w:rPr>
  </w:style>
  <w:style w:type="character" w:styleId="10">
    <w:name w:val="Hyperlink"/>
    <w:qFormat/>
    <w:uiPriority w:val="0"/>
    <w:rPr>
      <w:color w:val="0000FF"/>
      <w:u w:val="single"/>
    </w:rPr>
  </w:style>
  <w:style w:type="character" w:customStyle="1" w:styleId="11">
    <w:name w:val="默认段落字体1"/>
    <w:qFormat/>
    <w:uiPriority w:val="0"/>
  </w:style>
  <w:style w:type="character" w:customStyle="1" w:styleId="12">
    <w:name w:val="WW8Num1z0"/>
    <w:qFormat/>
    <w:uiPriority w:val="0"/>
  </w:style>
  <w:style w:type="character" w:customStyle="1" w:styleId="13">
    <w:name w:val="WW8Num2z0"/>
    <w:qFormat/>
    <w:uiPriority w:val="0"/>
  </w:style>
  <w:style w:type="paragraph" w:customStyle="1" w:styleId="14">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15">
    <w:name w:val="Index"/>
    <w:basedOn w:val="1"/>
    <w:qFormat/>
    <w:uiPriority w:val="0"/>
    <w:pPr>
      <w:suppressLineNumbers/>
    </w:pPr>
    <w:rPr>
      <w:rFonts w:cs="Lohit Devanagari"/>
    </w:rPr>
  </w:style>
  <w:style w:type="paragraph" w:customStyle="1" w:styleId="16">
    <w:name w:val="普通(网站)1"/>
    <w:basedOn w:val="1"/>
    <w:qFormat/>
    <w:uiPriority w:val="0"/>
    <w:pPr>
      <w:spacing w:before="100" w:after="100"/>
      <w:jc w:val="left"/>
    </w:pPr>
    <w:rPr>
      <w:kern w:val="0"/>
      <w:sz w:val="24"/>
    </w:rPr>
  </w:style>
  <w:style w:type="paragraph" w:customStyle="1" w:styleId="17">
    <w:name w:val="Table Contents"/>
    <w:basedOn w:val="1"/>
    <w:qFormat/>
    <w:uiPriority w:val="0"/>
    <w:pPr>
      <w:suppressLineNumbers/>
    </w:pPr>
  </w:style>
  <w:style w:type="paragraph" w:customStyle="1" w:styleId="18">
    <w:name w:val="Table Heading"/>
    <w:basedOn w:val="17"/>
    <w:qFormat/>
    <w:uiPriority w:val="0"/>
    <w:pPr>
      <w:jc w:val="center"/>
    </w:pPr>
    <w:rPr>
      <w:b/>
      <w:bCs/>
    </w:rPr>
  </w:style>
  <w:style w:type="character" w:customStyle="1" w:styleId="19">
    <w:name w:val="页眉 字符"/>
    <w:link w:val="5"/>
    <w:qFormat/>
    <w:uiPriority w:val="0"/>
    <w:rPr>
      <w:rFonts w:ascii="Calibri" w:hAnsi="Calibri" w:eastAsia="宋体" w:cs="Times New Roman"/>
      <w:kern w:val="2"/>
      <w:sz w:val="21"/>
      <w:szCs w:val="24"/>
    </w:rPr>
  </w:style>
  <w:style w:type="character" w:customStyle="1" w:styleId="20">
    <w:name w:val="页脚 字符"/>
    <w:link w:val="4"/>
    <w:qFormat/>
    <w:uiPriority w:val="0"/>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3185</Words>
  <Characters>3299</Characters>
  <Lines>108</Lines>
  <Paragraphs>97</Paragraphs>
  <TotalTime>5</TotalTime>
  <ScaleCrop>false</ScaleCrop>
  <LinksUpToDate>false</LinksUpToDate>
  <CharactersWithSpaces>3313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2026-06-19T02:29:00Z</dcterms:created>
  <dc:creator>枫菓</dc:creator>
  <cp:lastModifiedBy>头发乱了</cp:lastModifiedBy>
  <dcterms:modified xsi:type="dcterms:W3CDTF">2026-09-04T02:40:32Z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C3E6D03531834A30ACDCDCA0A1DE70F8_12</vt:lpwstr>
  </property>
  <property fmtid="{D5CDD505-2E9C-101B-9397-08002B2CF9AE}" pid="3" name="KSOProductBuildVer">
    <vt:lpwstr>2052-12.1.0.28505</vt:lpwstr>
  </property>
  <property fmtid="{D5CDD505-2E9C-101B-9397-08002B2CF9AE}" pid="4" name="KSOTemplateDocerSaveRecord">
    <vt:lpwstr>eyJoZGlkIjoiNDAwYmZjNGE1NWEzMmU1ZTQ0NWRjZDk4YzVkMGI3NzQiLCJ1c2VySWQiOiIyODQyNDUzOTkifQ==</vt:lpwstr>
  </property>
</Properties>
</file>