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01FB6F">
      <w:pPr>
        <w:widowControl/>
        <w:shd w:val="clear" w:color="auto" w:fill="FFFFFF"/>
        <w:spacing w:after="150" w:line="26" w:lineRule="atLeast"/>
        <w:ind w:left="480"/>
        <w:jc w:val="center"/>
        <w:rPr>
          <w:rStyle w:val="7"/>
          <w:rFonts w:hint="eastAsia" w:ascii="宋体" w:hAnsi="宋体" w:cs="宋体"/>
          <w:bCs/>
          <w:kern w:val="0"/>
          <w:sz w:val="32"/>
          <w:szCs w:val="32"/>
          <w:shd w:val="clear" w:color="auto" w:fill="FFFFFF"/>
          <w:lang w:bidi="ar"/>
        </w:rPr>
      </w:pPr>
      <w:bookmarkStart w:id="0" w:name="_GoBack"/>
      <w:r>
        <w:rPr>
          <w:rStyle w:val="7"/>
          <w:rFonts w:hint="eastAsia" w:ascii="宋体" w:hAnsi="宋体" w:cs="宋体"/>
          <w:bCs/>
          <w:kern w:val="0"/>
          <w:sz w:val="32"/>
          <w:szCs w:val="32"/>
          <w:shd w:val="clear" w:color="auto" w:fill="FFFFFF"/>
          <w:lang w:bidi="ar"/>
        </w:rPr>
        <w:t>2026“长川科技”集成电路测试装备微专业招生简章</w:t>
      </w:r>
    </w:p>
    <w:bookmarkEnd w:id="0"/>
    <w:p w14:paraId="371778E3">
      <w:pPr>
        <w:widowControl/>
        <w:numPr>
          <w:ilvl w:val="0"/>
          <w:numId w:val="1"/>
        </w:numPr>
        <w:shd w:val="clear" w:color="auto" w:fill="FFFFFF"/>
        <w:spacing w:after="150" w:line="26" w:lineRule="atLeast"/>
        <w:ind w:firstLine="480"/>
        <w:jc w:val="left"/>
        <w:rPr>
          <w:rStyle w:val="7"/>
          <w:rFonts w:hint="eastAsia" w:ascii="微软雅黑" w:hAnsi="微软雅黑" w:eastAsia="微软雅黑" w:cs="微软雅黑"/>
          <w:bCs/>
          <w:kern w:val="0"/>
          <w:sz w:val="28"/>
          <w:szCs w:val="28"/>
          <w:shd w:val="clear" w:color="auto" w:fill="FFFFFF"/>
          <w:lang w:bidi="ar"/>
        </w:rPr>
      </w:pPr>
      <w:r>
        <w:rPr>
          <w:rStyle w:val="7"/>
          <w:rFonts w:hint="eastAsia" w:ascii="微软雅黑" w:hAnsi="微软雅黑" w:eastAsia="微软雅黑" w:cs="微软雅黑"/>
          <w:bCs/>
          <w:kern w:val="0"/>
          <w:sz w:val="28"/>
          <w:szCs w:val="28"/>
          <w:shd w:val="clear" w:color="auto" w:fill="FFFFFF"/>
          <w:lang w:bidi="ar"/>
        </w:rPr>
        <w:t xml:space="preserve"> 微专业简介 </w:t>
      </w:r>
    </w:p>
    <w:p w14:paraId="1A8572B6">
      <w:pPr>
        <w:widowControl/>
        <w:shd w:val="clear" w:color="auto" w:fill="FFFFFF"/>
        <w:spacing w:after="150" w:line="26" w:lineRule="atLeast"/>
        <w:ind w:left="480" w:firstLine="560" w:firstLineChars="200"/>
        <w:rPr>
          <w:rFonts w:hint="eastAsia" w:ascii="仿宋" w:hAnsi="仿宋" w:eastAsia="仿宋"/>
          <w:bCs/>
          <w:sz w:val="28"/>
          <w:szCs w:val="28"/>
        </w:rPr>
      </w:pPr>
      <w:r>
        <w:rPr>
          <w:rFonts w:hint="eastAsia" w:ascii="仿宋" w:hAnsi="仿宋" w:eastAsia="仿宋"/>
          <w:bCs/>
          <w:sz w:val="28"/>
          <w:szCs w:val="28"/>
        </w:rPr>
        <w:t>“长川科技”集成电路测试装备微专业紧密对接国家集成电路产业战略及地方行业发展需求，依托长川科技在集成电路测试装备领域的领先优势，提供4门“小而精”的产教融合课程，分别为集成电路导论、集成电路装备概论、测试技术与设备发展、企业体系认知、Labview实训及测试机实训，共10学分，修读年限为1年。本微专业旨在培养学生系统掌握半导体产业链后端设计与测试流程，熟悉主流测试设备的硬件原理、软件开发及工程实践方法，使其能够深入了解集成电路测试方案开发、装备研发及测试工程管理等领域，为未来学生前往集成电路测试领域就业或深造打下坚实的基础。</w:t>
      </w:r>
    </w:p>
    <w:p w14:paraId="0C8E6638">
      <w:pPr>
        <w:widowControl/>
        <w:shd w:val="clear" w:color="auto" w:fill="FFFFFF"/>
        <w:spacing w:after="150" w:line="26" w:lineRule="atLeast"/>
        <w:ind w:firstLine="480"/>
        <w:jc w:val="left"/>
        <w:rPr>
          <w:rStyle w:val="7"/>
          <w:rFonts w:hint="eastAsia" w:ascii="微软雅黑" w:hAnsi="微软雅黑" w:eastAsia="微软雅黑" w:cs="微软雅黑"/>
          <w:bCs/>
          <w:color w:val="333333"/>
          <w:kern w:val="0"/>
          <w:sz w:val="28"/>
          <w:szCs w:val="28"/>
          <w:shd w:val="clear" w:color="auto" w:fill="FFFFFF"/>
          <w:lang w:bidi="ar"/>
        </w:rPr>
      </w:pPr>
      <w:r>
        <w:rPr>
          <w:rStyle w:val="7"/>
          <w:rFonts w:hint="eastAsia" w:ascii="微软雅黑" w:hAnsi="微软雅黑" w:eastAsia="微软雅黑" w:cs="微软雅黑"/>
          <w:bCs/>
          <w:color w:val="333333"/>
          <w:kern w:val="0"/>
          <w:sz w:val="28"/>
          <w:szCs w:val="28"/>
          <w:shd w:val="clear" w:color="auto" w:fill="FFFFFF"/>
          <w:lang w:bidi="ar"/>
        </w:rPr>
        <w:t>二、 培养目标</w:t>
      </w:r>
    </w:p>
    <w:p w14:paraId="126B638F">
      <w:pPr>
        <w:widowControl/>
        <w:shd w:val="clear" w:color="auto" w:fill="FFFFFF"/>
        <w:spacing w:after="150" w:line="26" w:lineRule="atLeast"/>
        <w:ind w:left="480" w:firstLine="560" w:firstLineChars="200"/>
        <w:jc w:val="left"/>
        <w:rPr>
          <w:rFonts w:hint="eastAsia" w:ascii="仿宋" w:hAnsi="仿宋" w:eastAsia="仿宋"/>
          <w:bCs/>
          <w:sz w:val="28"/>
          <w:szCs w:val="28"/>
        </w:rPr>
      </w:pPr>
      <w:r>
        <w:rPr>
          <w:rFonts w:hint="eastAsia" w:ascii="仿宋" w:hAnsi="仿宋" w:eastAsia="仿宋"/>
          <w:bCs/>
          <w:sz w:val="28"/>
          <w:szCs w:val="28"/>
        </w:rPr>
        <w:t>随着国内半导体封测产业高速发展，国产测试装备普及率持续提升，以长川科技为核心的国产半导体装备企业，对设备调试、设备应用、技术交付类技术人才缺口持续扩大。结合上游设备原厂、下游封测制造企业用人标准，本定向方案以半导体装备应用开发工程师为核心培养岗位，围绕长川科技全系测试设备进行设计，打造适配半导体产业链的高素质、高技能复合型装备技术人才。</w:t>
      </w:r>
    </w:p>
    <w:p w14:paraId="3CD72384">
      <w:pPr>
        <w:widowControl/>
        <w:shd w:val="clear" w:color="auto" w:fill="FFFFFF"/>
        <w:spacing w:after="150" w:line="26" w:lineRule="atLeast"/>
        <w:ind w:left="480" w:firstLine="560" w:firstLineChars="200"/>
        <w:jc w:val="left"/>
        <w:rPr>
          <w:rFonts w:hint="eastAsia" w:ascii="仿宋" w:hAnsi="仿宋" w:eastAsia="仿宋"/>
          <w:bCs/>
          <w:sz w:val="28"/>
          <w:szCs w:val="28"/>
        </w:rPr>
      </w:pPr>
      <w:r>
        <w:rPr>
          <w:rFonts w:hint="eastAsia" w:ascii="仿宋" w:hAnsi="仿宋" w:eastAsia="仿宋"/>
          <w:bCs/>
          <w:sz w:val="28"/>
          <w:szCs w:val="28"/>
        </w:rPr>
        <w:t>本微专业聚焦测试装备领域，要求学生具备从看懂原理图、设计PCB、焊接调试到编写测试程序、校准设备的软硬结合能力，并熟悉以ATE测试机、分选机、探针台等为代表的核心装备，能够胜任从原厂开发到现场交付、量产运维的全流程技术工作。</w:t>
      </w:r>
    </w:p>
    <w:p w14:paraId="247A4C22">
      <w:pPr>
        <w:widowControl/>
        <w:shd w:val="clear" w:color="auto" w:fill="FFFFFF"/>
        <w:spacing w:after="150" w:line="26" w:lineRule="atLeast"/>
        <w:ind w:left="480" w:firstLine="560" w:firstLineChars="200"/>
        <w:jc w:val="left"/>
        <w:rPr>
          <w:rFonts w:hint="eastAsia" w:ascii="仿宋" w:hAnsi="仿宋" w:eastAsia="仿宋"/>
          <w:bCs/>
          <w:sz w:val="28"/>
          <w:szCs w:val="28"/>
        </w:rPr>
      </w:pPr>
      <w:r>
        <w:rPr>
          <w:rFonts w:hint="eastAsia" w:ascii="仿宋" w:hAnsi="仿宋" w:eastAsia="仿宋"/>
          <w:bCs/>
          <w:sz w:val="28"/>
          <w:szCs w:val="28"/>
        </w:rPr>
        <w:t>培养原则：</w:t>
      </w:r>
    </w:p>
    <w:p w14:paraId="02C76B47">
      <w:pPr>
        <w:widowControl/>
        <w:shd w:val="clear" w:color="auto" w:fill="FFFFFF"/>
        <w:spacing w:after="150" w:line="26" w:lineRule="atLeast"/>
        <w:ind w:left="480" w:firstLine="560" w:firstLineChars="200"/>
        <w:jc w:val="left"/>
        <w:rPr>
          <w:rFonts w:hint="eastAsia" w:ascii="仿宋" w:hAnsi="仿宋" w:eastAsia="仿宋"/>
          <w:bCs/>
          <w:sz w:val="28"/>
          <w:szCs w:val="28"/>
        </w:rPr>
      </w:pPr>
      <w:r>
        <w:rPr>
          <w:rFonts w:hint="eastAsia" w:ascii="仿宋" w:hAnsi="仿宋" w:eastAsia="仿宋"/>
          <w:bCs/>
          <w:sz w:val="28"/>
          <w:szCs w:val="28"/>
        </w:rPr>
        <w:t>- 岗位定向原则：以长川科技应用开发岗位为核心培养目标；</w:t>
      </w:r>
    </w:p>
    <w:p w14:paraId="376B3BBD">
      <w:pPr>
        <w:widowControl/>
        <w:shd w:val="clear" w:color="auto" w:fill="FFFFFF"/>
        <w:spacing w:after="150" w:line="26" w:lineRule="atLeast"/>
        <w:ind w:left="480" w:firstLine="560" w:firstLineChars="200"/>
        <w:jc w:val="left"/>
        <w:rPr>
          <w:rFonts w:hint="eastAsia" w:ascii="仿宋" w:hAnsi="仿宋" w:eastAsia="仿宋"/>
          <w:bCs/>
          <w:sz w:val="28"/>
          <w:szCs w:val="28"/>
        </w:rPr>
      </w:pPr>
      <w:r>
        <w:rPr>
          <w:rFonts w:hint="eastAsia" w:ascii="仿宋" w:hAnsi="仿宋" w:eastAsia="仿宋"/>
          <w:bCs/>
          <w:sz w:val="28"/>
          <w:szCs w:val="28"/>
        </w:rPr>
        <w:t>- 产业适配原则：严格对标长川科技及上下游合作企业真实用人技能模型；</w:t>
      </w:r>
    </w:p>
    <w:p w14:paraId="27DF9D4D">
      <w:pPr>
        <w:widowControl/>
        <w:shd w:val="clear" w:color="auto" w:fill="FFFFFF"/>
        <w:spacing w:after="150" w:line="26" w:lineRule="atLeast"/>
        <w:ind w:left="480" w:firstLine="560" w:firstLineChars="200"/>
        <w:jc w:val="left"/>
        <w:rPr>
          <w:rFonts w:hint="eastAsia" w:ascii="仿宋" w:hAnsi="仿宋" w:eastAsia="仿宋"/>
          <w:bCs/>
          <w:sz w:val="28"/>
          <w:szCs w:val="28"/>
        </w:rPr>
      </w:pPr>
      <w:r>
        <w:rPr>
          <w:rFonts w:hint="eastAsia" w:ascii="仿宋" w:hAnsi="仿宋" w:eastAsia="仿宋"/>
          <w:bCs/>
          <w:sz w:val="28"/>
          <w:szCs w:val="28"/>
        </w:rPr>
        <w:t>- 能力递进原则：由量产应用→设备调试→底层开发逐级提升，符合学生认知规律；</w:t>
      </w:r>
    </w:p>
    <w:p w14:paraId="4DF42B5D">
      <w:pPr>
        <w:widowControl/>
        <w:shd w:val="clear" w:color="auto" w:fill="FFFFFF"/>
        <w:spacing w:after="150" w:line="26" w:lineRule="atLeast"/>
        <w:ind w:left="480" w:firstLine="560" w:firstLineChars="200"/>
        <w:jc w:val="left"/>
        <w:rPr>
          <w:rFonts w:hint="eastAsia" w:ascii="仿宋" w:hAnsi="仿宋" w:eastAsia="仿宋"/>
          <w:bCs/>
          <w:sz w:val="28"/>
          <w:szCs w:val="28"/>
        </w:rPr>
      </w:pPr>
      <w:r>
        <w:rPr>
          <w:rFonts w:hint="eastAsia" w:ascii="仿宋" w:hAnsi="仿宋" w:eastAsia="仿宋"/>
          <w:bCs/>
          <w:sz w:val="28"/>
          <w:szCs w:val="28"/>
        </w:rPr>
        <w:t>- 就业发展原则：核心培养开发岗，同步兼容下游设备技术类岗位，拓宽就业通道。</w:t>
      </w:r>
    </w:p>
    <w:p w14:paraId="2B307164">
      <w:pPr>
        <w:widowControl/>
        <w:shd w:val="clear" w:color="auto" w:fill="FFFFFF"/>
        <w:spacing w:after="150" w:line="26" w:lineRule="atLeast"/>
        <w:ind w:left="480"/>
        <w:jc w:val="left"/>
        <w:rPr>
          <w:rStyle w:val="7"/>
          <w:rFonts w:hint="eastAsia" w:ascii="微软雅黑" w:hAnsi="微软雅黑" w:eastAsia="微软雅黑" w:cs="微软雅黑"/>
          <w:bCs/>
          <w:kern w:val="0"/>
          <w:sz w:val="28"/>
          <w:szCs w:val="28"/>
          <w:shd w:val="clear" w:color="auto" w:fill="FFFFFF"/>
          <w:lang w:bidi="ar"/>
        </w:rPr>
      </w:pPr>
      <w:r>
        <w:rPr>
          <w:rStyle w:val="7"/>
          <w:rFonts w:hint="eastAsia" w:ascii="微软雅黑" w:hAnsi="微软雅黑" w:eastAsia="微软雅黑" w:cs="微软雅黑"/>
          <w:bCs/>
          <w:kern w:val="0"/>
          <w:sz w:val="28"/>
          <w:szCs w:val="28"/>
          <w:shd w:val="clear" w:color="auto" w:fill="FFFFFF"/>
          <w:lang w:bidi="ar"/>
        </w:rPr>
        <w:t>三、 培养要求</w:t>
      </w:r>
    </w:p>
    <w:p w14:paraId="7C7AE4AA">
      <w:pPr>
        <w:widowControl/>
        <w:shd w:val="clear" w:color="auto" w:fill="FFFFFF"/>
        <w:spacing w:after="150" w:line="26" w:lineRule="atLeast"/>
        <w:ind w:left="480"/>
        <w:jc w:val="left"/>
        <w:rPr>
          <w:rFonts w:hint="eastAsia" w:ascii="仿宋" w:hAnsi="仿宋" w:eastAsia="仿宋"/>
          <w:bCs/>
          <w:sz w:val="28"/>
          <w:szCs w:val="28"/>
        </w:rPr>
      </w:pPr>
      <w:r>
        <w:rPr>
          <w:rFonts w:hint="eastAsia" w:ascii="仿宋" w:hAnsi="仿宋" w:eastAsia="仿宋"/>
          <w:bCs/>
          <w:sz w:val="28"/>
          <w:szCs w:val="28"/>
        </w:rPr>
        <w:t>（1） 知识层面：学生需系统掌握集成电路测试方向的基础理论知识，包括集成电路导论、半导体产业链后端设计与测试流程等。熟悉主流测试装备（如探针台、分选机、测试机）的硬件原理与工艺架构，了解芯片测试方案开发的基本逻辑与规范。</w:t>
      </w:r>
    </w:p>
    <w:p w14:paraId="11A337B6">
      <w:pPr>
        <w:widowControl/>
        <w:shd w:val="clear" w:color="auto" w:fill="FFFFFF"/>
        <w:spacing w:after="150" w:line="26" w:lineRule="atLeast"/>
        <w:ind w:left="480"/>
        <w:jc w:val="left"/>
        <w:rPr>
          <w:rFonts w:hint="eastAsia" w:ascii="仿宋" w:hAnsi="仿宋" w:eastAsia="仿宋"/>
          <w:bCs/>
          <w:sz w:val="28"/>
          <w:szCs w:val="28"/>
        </w:rPr>
      </w:pPr>
      <w:r>
        <w:rPr>
          <w:rFonts w:hint="eastAsia" w:ascii="仿宋" w:hAnsi="仿宋" w:eastAsia="仿宋"/>
          <w:bCs/>
          <w:sz w:val="28"/>
          <w:szCs w:val="28"/>
        </w:rPr>
        <w:t>（2） 能力层面：学生需具备扎实的测试软件开发、工程实践与动手操作能力，能够熟练运用 Labview 等工具开展实操，并在企业级测试机实训中掌握实际工程问题的分析与解决办法。与此同时，还需具备适应 AI 与智能化测试技术发展趋势的创新思维能力。</w:t>
      </w:r>
    </w:p>
    <w:p w14:paraId="3D9CEE99">
      <w:pPr>
        <w:widowControl/>
        <w:shd w:val="clear" w:color="auto" w:fill="FFFFFF"/>
        <w:spacing w:after="150" w:line="26" w:lineRule="atLeast"/>
        <w:ind w:left="480"/>
        <w:jc w:val="left"/>
        <w:rPr>
          <w:rFonts w:hint="eastAsia" w:ascii="仿宋" w:hAnsi="仿宋" w:eastAsia="仿宋"/>
          <w:bCs/>
          <w:sz w:val="28"/>
          <w:szCs w:val="28"/>
        </w:rPr>
      </w:pPr>
      <w:r>
        <w:rPr>
          <w:rFonts w:hint="eastAsia" w:ascii="仿宋" w:hAnsi="仿宋" w:eastAsia="仿宋"/>
          <w:bCs/>
          <w:sz w:val="28"/>
          <w:szCs w:val="28"/>
        </w:rPr>
        <w:t>（3） 素质层面：学生需要具备良好的职业通用素质、沟通协调能力和团队合作精神，能够快速适应产教融合的企业实践环境。此外，还需要具备较强的创新意识、国际视野与责任心，能够遵守行业规范，为集成电路测试及装备研发领域的发展做出贡献。</w:t>
      </w:r>
    </w:p>
    <w:p w14:paraId="487A473D">
      <w:pPr>
        <w:widowControl/>
        <w:shd w:val="clear" w:color="auto" w:fill="FFFFFF"/>
        <w:spacing w:after="150" w:line="26" w:lineRule="atLeast"/>
        <w:ind w:firstLine="480"/>
        <w:jc w:val="left"/>
        <w:rPr>
          <w:rFonts w:hint="eastAsia" w:ascii="微软雅黑" w:hAnsi="微软雅黑" w:eastAsia="微软雅黑" w:cs="微软雅黑"/>
          <w:color w:val="333333"/>
          <w:sz w:val="28"/>
          <w:szCs w:val="28"/>
        </w:rPr>
      </w:pPr>
      <w:r>
        <w:rPr>
          <w:rStyle w:val="7"/>
          <w:rFonts w:hint="eastAsia" w:ascii="微软雅黑" w:hAnsi="微软雅黑" w:eastAsia="微软雅黑" w:cs="微软雅黑"/>
          <w:bCs/>
          <w:color w:val="333333"/>
          <w:kern w:val="0"/>
          <w:sz w:val="28"/>
          <w:szCs w:val="28"/>
          <w:shd w:val="clear" w:color="auto" w:fill="FFFFFF"/>
          <w:lang w:bidi="ar"/>
        </w:rPr>
        <w:t>四、 招生对象及条件</w:t>
      </w:r>
    </w:p>
    <w:p w14:paraId="160BB8F8">
      <w:pPr>
        <w:adjustRightInd w:val="0"/>
        <w:snapToGrid w:val="0"/>
        <w:spacing w:line="360" w:lineRule="auto"/>
        <w:ind w:firstLine="560" w:firstLineChars="200"/>
        <w:rPr>
          <w:rFonts w:hint="eastAsia" w:ascii="仿宋" w:hAnsi="仿宋" w:eastAsia="仿宋"/>
          <w:bCs/>
          <w:sz w:val="28"/>
          <w:szCs w:val="28"/>
        </w:rPr>
      </w:pPr>
      <w:r>
        <w:rPr>
          <w:rFonts w:hint="eastAsia" w:ascii="仿宋_GB2312" w:eastAsia="仿宋_GB2312"/>
          <w:bCs/>
          <w:sz w:val="28"/>
          <w:szCs w:val="28"/>
        </w:rPr>
        <w:t>招生对象：</w:t>
      </w:r>
      <w:r>
        <w:rPr>
          <w:rFonts w:hint="eastAsia" w:ascii="仿宋" w:hAnsi="仿宋" w:eastAsia="仿宋"/>
          <w:bCs/>
          <w:sz w:val="28"/>
          <w:szCs w:val="28"/>
        </w:rPr>
        <w:t>在校生（尤其是自动化、通信工程、电子类相关专业），具备一定的科学探究能力和动手实践能力，对集成电路测试领域表现出浓厚兴趣，并具备相应的学习动机和目标，致力于前往测试领域就业的学生。</w:t>
      </w:r>
    </w:p>
    <w:p w14:paraId="5AC3B259">
      <w:pPr>
        <w:adjustRightInd w:val="0"/>
        <w:snapToGrid w:val="0"/>
        <w:spacing w:line="360" w:lineRule="auto"/>
        <w:ind w:firstLine="560" w:firstLineChars="200"/>
        <w:rPr>
          <w:rFonts w:ascii="仿宋_GB2312" w:eastAsia="仿宋_GB2312"/>
          <w:bCs/>
          <w:color w:val="000000"/>
          <w:sz w:val="28"/>
          <w:szCs w:val="28"/>
        </w:rPr>
      </w:pPr>
      <w:r>
        <w:rPr>
          <w:rFonts w:hint="eastAsia" w:ascii="仿宋_GB2312" w:eastAsia="仿宋_GB2312"/>
          <w:bCs/>
          <w:color w:val="000000"/>
          <w:sz w:val="28"/>
          <w:szCs w:val="28"/>
        </w:rPr>
        <w:t>招生要求：</w:t>
      </w:r>
    </w:p>
    <w:p w14:paraId="209DD946">
      <w:pPr>
        <w:adjustRightInd w:val="0"/>
        <w:snapToGrid w:val="0"/>
        <w:spacing w:line="360" w:lineRule="auto"/>
        <w:ind w:firstLine="560" w:firstLineChars="200"/>
        <w:rPr>
          <w:rFonts w:ascii="仿宋_GB2312" w:eastAsia="仿宋_GB2312"/>
          <w:bCs/>
          <w:color w:val="000000"/>
          <w:sz w:val="28"/>
          <w:szCs w:val="28"/>
        </w:rPr>
      </w:pPr>
      <w:r>
        <w:rPr>
          <w:rFonts w:hint="eastAsia" w:ascii="仿宋_GB2312" w:eastAsia="仿宋_GB2312"/>
          <w:bCs/>
          <w:color w:val="000000"/>
          <w:sz w:val="28"/>
          <w:szCs w:val="28"/>
        </w:rPr>
        <w:t>（1）成绩优异，具有良好的数学、物理基础。</w:t>
      </w:r>
    </w:p>
    <w:p w14:paraId="62A51D35">
      <w:pPr>
        <w:adjustRightInd w:val="0"/>
        <w:snapToGrid w:val="0"/>
        <w:spacing w:line="360" w:lineRule="auto"/>
        <w:ind w:firstLine="560" w:firstLineChars="200"/>
        <w:rPr>
          <w:rFonts w:ascii="仿宋_GB2312" w:eastAsia="仿宋_GB2312"/>
          <w:bCs/>
          <w:color w:val="000000"/>
          <w:sz w:val="28"/>
          <w:szCs w:val="28"/>
        </w:rPr>
      </w:pPr>
      <w:r>
        <w:rPr>
          <w:rFonts w:hint="eastAsia" w:ascii="仿宋_GB2312" w:eastAsia="仿宋_GB2312"/>
          <w:bCs/>
          <w:color w:val="000000"/>
          <w:sz w:val="28"/>
          <w:szCs w:val="28"/>
        </w:rPr>
        <w:t>（2）具备团队合作精神，能够积极参与项目实践。</w:t>
      </w:r>
    </w:p>
    <w:p w14:paraId="735E5EBB">
      <w:pPr>
        <w:adjustRightInd w:val="0"/>
        <w:snapToGrid w:val="0"/>
        <w:spacing w:line="360" w:lineRule="auto"/>
        <w:ind w:firstLine="560" w:firstLineChars="200"/>
        <w:rPr>
          <w:rFonts w:ascii="仿宋_GB2312" w:eastAsia="仿宋_GB2312"/>
          <w:bCs/>
          <w:color w:val="000000"/>
          <w:sz w:val="28"/>
          <w:szCs w:val="28"/>
        </w:rPr>
      </w:pPr>
      <w:r>
        <w:rPr>
          <w:rFonts w:hint="eastAsia" w:ascii="仿宋_GB2312" w:eastAsia="仿宋_GB2312"/>
          <w:bCs/>
          <w:color w:val="000000"/>
          <w:sz w:val="28"/>
          <w:szCs w:val="28"/>
        </w:rPr>
        <w:t>（3）有志于在集成电路领域继续深造或在相关行业就业。</w:t>
      </w:r>
    </w:p>
    <w:p w14:paraId="06651C08">
      <w:pPr>
        <w:adjustRightInd w:val="0"/>
        <w:snapToGrid w:val="0"/>
        <w:spacing w:line="360" w:lineRule="auto"/>
        <w:ind w:firstLine="560" w:firstLineChars="200"/>
        <w:rPr>
          <w:rFonts w:ascii="仿宋_GB2312" w:eastAsia="仿宋_GB2312"/>
          <w:bCs/>
          <w:color w:val="000000"/>
          <w:sz w:val="28"/>
          <w:szCs w:val="28"/>
        </w:rPr>
      </w:pPr>
      <w:r>
        <w:rPr>
          <w:rFonts w:hint="eastAsia" w:ascii="仿宋_GB2312" w:eastAsia="仿宋_GB2312"/>
          <w:bCs/>
          <w:color w:val="000000"/>
          <w:sz w:val="28"/>
          <w:szCs w:val="28"/>
        </w:rPr>
        <w:t>招生人数：3</w:t>
      </w:r>
      <w:r>
        <w:rPr>
          <w:rFonts w:ascii="仿宋_GB2312" w:eastAsia="仿宋_GB2312"/>
          <w:bCs/>
          <w:color w:val="000000"/>
          <w:sz w:val="28"/>
          <w:szCs w:val="28"/>
        </w:rPr>
        <w:t>0-40</w:t>
      </w:r>
      <w:r>
        <w:rPr>
          <w:rFonts w:hint="eastAsia" w:ascii="仿宋_GB2312" w:eastAsia="仿宋_GB2312"/>
          <w:bCs/>
          <w:color w:val="000000"/>
          <w:sz w:val="28"/>
          <w:szCs w:val="28"/>
        </w:rPr>
        <w:t>人</w:t>
      </w:r>
    </w:p>
    <w:p w14:paraId="6FF10830">
      <w:pPr>
        <w:widowControl/>
        <w:numPr>
          <w:ilvl w:val="0"/>
          <w:numId w:val="2"/>
        </w:numPr>
        <w:shd w:val="clear" w:color="auto" w:fill="FFFFFF"/>
        <w:spacing w:after="150" w:line="26" w:lineRule="atLeast"/>
        <w:ind w:firstLine="480"/>
        <w:jc w:val="left"/>
        <w:rPr>
          <w:rStyle w:val="7"/>
          <w:rFonts w:hint="eastAsia" w:ascii="微软雅黑" w:hAnsi="微软雅黑" w:eastAsia="微软雅黑" w:cs="微软雅黑"/>
          <w:bCs/>
          <w:color w:val="333333"/>
          <w:kern w:val="0"/>
          <w:sz w:val="28"/>
          <w:szCs w:val="28"/>
          <w:shd w:val="clear" w:color="auto" w:fill="FFFFFF"/>
          <w:lang w:bidi="ar"/>
        </w:rPr>
      </w:pPr>
      <w:r>
        <w:rPr>
          <w:rStyle w:val="7"/>
          <w:rFonts w:hint="eastAsia" w:ascii="微软雅黑" w:hAnsi="微软雅黑" w:eastAsia="微软雅黑" w:cs="微软雅黑"/>
          <w:bCs/>
          <w:color w:val="333333"/>
          <w:kern w:val="0"/>
          <w:sz w:val="28"/>
          <w:szCs w:val="28"/>
          <w:shd w:val="clear" w:color="auto" w:fill="FFFFFF"/>
          <w:lang w:bidi="ar"/>
        </w:rPr>
        <w:t> 学制及证书授予</w:t>
      </w:r>
    </w:p>
    <w:p w14:paraId="0CD41CDD">
      <w:pPr>
        <w:adjustRightInd w:val="0"/>
        <w:snapToGrid w:val="0"/>
        <w:spacing w:line="360" w:lineRule="auto"/>
        <w:ind w:firstLine="560" w:firstLineChars="200"/>
        <w:rPr>
          <w:rFonts w:hint="eastAsia" w:ascii="仿宋" w:hAnsi="仿宋" w:eastAsia="仿宋"/>
          <w:sz w:val="28"/>
          <w:szCs w:val="28"/>
        </w:rPr>
      </w:pPr>
      <w:r>
        <w:rPr>
          <w:rFonts w:hint="eastAsia" w:ascii="仿宋_GB2312" w:eastAsia="仿宋_GB2312"/>
          <w:sz w:val="28"/>
          <w:szCs w:val="28"/>
        </w:rPr>
        <w:t>“长川科技”集成电路测试装备微专业修读年限为1年，成绩单独管理，不计入主修专业成绩单。</w:t>
      </w:r>
      <w:r>
        <w:rPr>
          <w:rFonts w:hint="eastAsia" w:ascii="仿宋" w:hAnsi="仿宋" w:eastAsia="仿宋"/>
          <w:sz w:val="28"/>
          <w:szCs w:val="28"/>
        </w:rPr>
        <w:t>学生在毕业前，修满本培养方案规定的10学分，颁发</w:t>
      </w:r>
      <w:r>
        <w:rPr>
          <w:rFonts w:hint="eastAsia" w:ascii="仿宋" w:hAnsi="仿宋" w:eastAsia="仿宋"/>
          <w:bCs/>
          <w:sz w:val="28"/>
          <w:szCs w:val="28"/>
        </w:rPr>
        <w:t>“长川科技”集成电路测试装备微专业</w:t>
      </w:r>
      <w:r>
        <w:rPr>
          <w:rFonts w:hint="eastAsia" w:ascii="仿宋" w:hAnsi="仿宋" w:eastAsia="仿宋"/>
          <w:sz w:val="28"/>
          <w:szCs w:val="28"/>
        </w:rPr>
        <w:t>证书。</w:t>
      </w:r>
    </w:p>
    <w:p w14:paraId="406414D7">
      <w:pPr>
        <w:adjustRightInd w:val="0"/>
        <w:snapToGrid w:val="0"/>
        <w:spacing w:line="360" w:lineRule="auto"/>
        <w:ind w:firstLine="560" w:firstLineChars="200"/>
        <w:rPr>
          <w:rFonts w:ascii="仿宋_GB2312" w:eastAsia="仿宋_GB2312"/>
          <w:sz w:val="28"/>
          <w:szCs w:val="28"/>
        </w:rPr>
      </w:pPr>
    </w:p>
    <w:p w14:paraId="5A804BAE">
      <w:pPr>
        <w:widowControl/>
        <w:shd w:val="clear" w:color="auto" w:fill="FFFFFF"/>
        <w:spacing w:after="150" w:line="26" w:lineRule="atLeast"/>
        <w:ind w:firstLine="480"/>
        <w:jc w:val="left"/>
        <w:rPr>
          <w:rFonts w:hint="eastAsia" w:ascii="微软雅黑" w:hAnsi="微软雅黑" w:eastAsia="微软雅黑" w:cs="微软雅黑"/>
          <w:color w:val="333333"/>
          <w:sz w:val="28"/>
          <w:szCs w:val="28"/>
        </w:rPr>
      </w:pPr>
      <w:r>
        <w:rPr>
          <w:rStyle w:val="7"/>
          <w:rFonts w:hint="eastAsia" w:ascii="微软雅黑" w:hAnsi="微软雅黑" w:eastAsia="微软雅黑" w:cs="微软雅黑"/>
          <w:bCs/>
          <w:color w:val="333333"/>
          <w:kern w:val="0"/>
          <w:sz w:val="28"/>
          <w:szCs w:val="28"/>
          <w:shd w:val="clear" w:color="auto" w:fill="FFFFFF"/>
          <w:lang w:bidi="ar"/>
        </w:rPr>
        <w:t>六、 学费</w:t>
      </w:r>
    </w:p>
    <w:p w14:paraId="06E4284F">
      <w:pPr>
        <w:adjustRightInd w:val="0"/>
        <w:snapToGrid w:val="0"/>
        <w:spacing w:line="360" w:lineRule="auto"/>
        <w:ind w:left="279" w:leftChars="133" w:firstLine="280" w:firstLineChars="100"/>
        <w:rPr>
          <w:rFonts w:ascii="仿宋_GB2312" w:eastAsia="仿宋_GB2312"/>
          <w:bCs/>
          <w:sz w:val="28"/>
          <w:szCs w:val="28"/>
        </w:rPr>
      </w:pPr>
      <w:r>
        <w:rPr>
          <w:rFonts w:hint="eastAsia" w:ascii="仿宋_GB2312" w:eastAsia="仿宋_GB2312"/>
          <w:bCs/>
          <w:sz w:val="28"/>
          <w:szCs w:val="28"/>
        </w:rPr>
        <w:t>根据学院讨论决定，</w:t>
      </w:r>
      <w:r>
        <w:rPr>
          <w:rFonts w:hint="eastAsia" w:ascii="仿宋" w:hAnsi="仿宋" w:eastAsia="仿宋"/>
          <w:bCs/>
          <w:sz w:val="28"/>
          <w:szCs w:val="28"/>
        </w:rPr>
        <w:t>“长川科技”集成电路测试装备微专业</w:t>
      </w:r>
      <w:r>
        <w:rPr>
          <w:rFonts w:hint="eastAsia" w:ascii="仿宋_GB2312" w:eastAsia="仿宋_GB2312"/>
          <w:bCs/>
          <w:sz w:val="28"/>
          <w:szCs w:val="28"/>
        </w:rPr>
        <w:t>不收取学费。</w:t>
      </w:r>
    </w:p>
    <w:p w14:paraId="79EB06DC">
      <w:pPr>
        <w:widowControl/>
        <w:shd w:val="clear" w:color="auto" w:fill="FFFFFF"/>
        <w:spacing w:after="150" w:line="26" w:lineRule="atLeast"/>
        <w:ind w:firstLine="480"/>
        <w:jc w:val="left"/>
        <w:rPr>
          <w:rFonts w:hint="eastAsia" w:ascii="微软雅黑" w:hAnsi="微软雅黑" w:eastAsia="微软雅黑" w:cs="微软雅黑"/>
          <w:color w:val="333333"/>
          <w:sz w:val="28"/>
          <w:szCs w:val="28"/>
        </w:rPr>
      </w:pPr>
      <w:r>
        <w:rPr>
          <w:rStyle w:val="7"/>
          <w:rFonts w:hint="eastAsia" w:ascii="微软雅黑" w:hAnsi="微软雅黑" w:eastAsia="微软雅黑" w:cs="微软雅黑"/>
          <w:bCs/>
          <w:color w:val="333333"/>
          <w:kern w:val="0"/>
          <w:sz w:val="28"/>
          <w:szCs w:val="28"/>
          <w:shd w:val="clear" w:color="auto" w:fill="FFFFFF"/>
          <w:lang w:bidi="ar"/>
        </w:rPr>
        <w:t>七、 报名及咨询</w:t>
      </w:r>
    </w:p>
    <w:p w14:paraId="48730D8C">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报名网址：https://v.wjx.cn/vm/Q03Cx1K.aspx#  填表报名,学院审核后，择优确定微专业录取名单，报教务处备案并发布录取信息。</w:t>
      </w:r>
    </w:p>
    <w:p w14:paraId="00DB95CB">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联系人：陆老师、李老师</w:t>
      </w:r>
    </w:p>
    <w:p w14:paraId="030E4FBC">
      <w:pPr>
        <w:adjustRightInd w:val="0"/>
        <w:snapToGrid w:val="0"/>
        <w:spacing w:line="360" w:lineRule="auto"/>
        <w:ind w:firstLine="560" w:firstLineChars="200"/>
        <w:rPr>
          <w:rFonts w:ascii="仿宋_GB2312" w:eastAsia="仿宋_GB2312"/>
          <w:bCs/>
          <w:sz w:val="28"/>
          <w:szCs w:val="28"/>
        </w:rPr>
      </w:pPr>
      <w:r>
        <w:rPr>
          <w:rFonts w:hint="eastAsia" w:ascii="仿宋_GB2312" w:eastAsia="仿宋_GB2312"/>
          <w:bCs/>
          <w:sz w:val="28"/>
          <w:szCs w:val="28"/>
        </w:rPr>
        <w:t>咨询邮箱：</w:t>
      </w:r>
      <w:r>
        <w:fldChar w:fldCharType="begin"/>
      </w:r>
      <w:r>
        <w:instrText xml:space="preserve"> HYPERLINK "mailto:fflu@sspu.edu.cn," </w:instrText>
      </w:r>
      <w:r>
        <w:fldChar w:fldCharType="separate"/>
      </w:r>
      <w:r>
        <w:rPr>
          <w:rFonts w:hint="eastAsia" w:ascii="仿宋_GB2312" w:eastAsia="仿宋_GB2312"/>
          <w:bCs/>
          <w:sz w:val="28"/>
          <w:szCs w:val="28"/>
        </w:rPr>
        <w:t>fflu@sspu.edu.cn,</w:t>
      </w:r>
      <w:r>
        <w:rPr>
          <w:rFonts w:hint="eastAsia" w:ascii="仿宋_GB2312" w:eastAsia="仿宋_GB2312"/>
          <w:bCs/>
          <w:sz w:val="28"/>
          <w:szCs w:val="28"/>
        </w:rPr>
        <w:fldChar w:fldCharType="end"/>
      </w:r>
      <w:r>
        <w:rPr>
          <w:rFonts w:hint="eastAsia" w:ascii="仿宋_GB2312" w:eastAsia="仿宋_GB2312"/>
          <w:bCs/>
          <w:sz w:val="28"/>
          <w:szCs w:val="28"/>
        </w:rPr>
        <w:t xml:space="preserve"> fyli@sspu.edu.cn（请在邮件标题注明“微专业咨询”）</w:t>
      </w:r>
    </w:p>
    <w:p w14:paraId="5715A19C">
      <w:pPr>
        <w:widowControl/>
        <w:shd w:val="clear" w:color="auto" w:fill="FFFFFF"/>
        <w:spacing w:after="150" w:line="26" w:lineRule="atLeast"/>
        <w:ind w:firstLine="480"/>
        <w:jc w:val="left"/>
        <w:rPr>
          <w:rFonts w:hint="eastAsia" w:ascii="微软雅黑" w:hAnsi="微软雅黑" w:eastAsia="微软雅黑" w:cs="微软雅黑"/>
          <w:color w:val="333333"/>
          <w:sz w:val="28"/>
          <w:szCs w:val="28"/>
        </w:rPr>
      </w:pPr>
      <w:r>
        <w:rPr>
          <w:rStyle w:val="7"/>
          <w:rFonts w:hint="eastAsia" w:ascii="微软雅黑" w:hAnsi="微软雅黑" w:eastAsia="微软雅黑" w:cs="微软雅黑"/>
          <w:bCs/>
          <w:color w:val="333333"/>
          <w:kern w:val="0"/>
          <w:sz w:val="28"/>
          <w:szCs w:val="28"/>
          <w:shd w:val="clear" w:color="auto" w:fill="FFFFFF"/>
          <w:lang w:bidi="ar"/>
        </w:rPr>
        <w:t>八、 教学计划与课程简介</w:t>
      </w:r>
    </w:p>
    <w:p w14:paraId="73E5B97E">
      <w:pPr>
        <w:adjustRightInd w:val="0"/>
        <w:snapToGrid w:val="0"/>
        <w:spacing w:line="360" w:lineRule="auto"/>
        <w:ind w:left="480"/>
        <w:jc w:val="center"/>
        <w:outlineLvl w:val="0"/>
        <w:rPr>
          <w:rFonts w:ascii="黑体" w:eastAsia="黑体"/>
          <w:b/>
          <w:sz w:val="24"/>
        </w:rPr>
      </w:pPr>
      <w:r>
        <w:rPr>
          <w:rFonts w:hint="eastAsia" w:ascii="黑体" w:eastAsia="黑体"/>
          <w:b/>
          <w:sz w:val="24"/>
        </w:rPr>
        <w:t>微专业课程设置及教学进程计划表</w:t>
      </w:r>
    </w:p>
    <w:tbl>
      <w:tblPr>
        <w:tblStyle w:val="5"/>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129"/>
        <w:gridCol w:w="1418"/>
        <w:gridCol w:w="992"/>
        <w:gridCol w:w="992"/>
        <w:gridCol w:w="851"/>
        <w:gridCol w:w="992"/>
        <w:gridCol w:w="1514"/>
        <w:gridCol w:w="1321"/>
      </w:tblGrid>
      <w:tr w14:paraId="14BD8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Merge w:val="restart"/>
            <w:vAlign w:val="center"/>
          </w:tcPr>
          <w:p w14:paraId="5BE999F4">
            <w:pPr>
              <w:jc w:val="center"/>
              <w:rPr>
                <w:rFonts w:hint="eastAsia" w:ascii="仿宋" w:hAnsi="仿宋" w:eastAsia="仿宋"/>
                <w:bCs/>
                <w:sz w:val="24"/>
              </w:rPr>
            </w:pPr>
            <w:r>
              <w:rPr>
                <w:rFonts w:hint="eastAsia" w:ascii="仿宋" w:hAnsi="仿宋" w:eastAsia="仿宋"/>
                <w:bCs/>
                <w:sz w:val="24"/>
              </w:rPr>
              <w:t>序号</w:t>
            </w:r>
          </w:p>
        </w:tc>
        <w:tc>
          <w:tcPr>
            <w:tcW w:w="2547" w:type="dxa"/>
            <w:gridSpan w:val="2"/>
            <w:vMerge w:val="restart"/>
            <w:vAlign w:val="center"/>
          </w:tcPr>
          <w:p w14:paraId="2BC40D7E">
            <w:pPr>
              <w:widowControl/>
              <w:jc w:val="center"/>
              <w:rPr>
                <w:rFonts w:hint="eastAsia" w:ascii="仿宋" w:hAnsi="仿宋" w:eastAsia="仿宋"/>
                <w:bCs/>
                <w:spacing w:val="20"/>
                <w:sz w:val="24"/>
              </w:rPr>
            </w:pPr>
            <w:r>
              <w:rPr>
                <w:rFonts w:hint="eastAsia" w:ascii="仿宋" w:hAnsi="仿宋" w:eastAsia="仿宋"/>
                <w:bCs/>
                <w:sz w:val="24"/>
              </w:rPr>
              <w:t>课程名称</w:t>
            </w:r>
          </w:p>
        </w:tc>
        <w:tc>
          <w:tcPr>
            <w:tcW w:w="992" w:type="dxa"/>
            <w:vMerge w:val="restart"/>
            <w:vAlign w:val="center"/>
          </w:tcPr>
          <w:p w14:paraId="1B466B2D">
            <w:pPr>
              <w:widowControl/>
              <w:jc w:val="center"/>
              <w:rPr>
                <w:rFonts w:hint="eastAsia" w:ascii="仿宋" w:hAnsi="仿宋" w:eastAsia="仿宋"/>
                <w:bCs/>
                <w:spacing w:val="20"/>
                <w:sz w:val="24"/>
              </w:rPr>
            </w:pPr>
            <w:r>
              <w:rPr>
                <w:rFonts w:hint="eastAsia" w:ascii="仿宋" w:hAnsi="仿宋" w:eastAsia="仿宋"/>
                <w:bCs/>
                <w:sz w:val="24"/>
              </w:rPr>
              <w:t>学分</w:t>
            </w:r>
          </w:p>
        </w:tc>
        <w:tc>
          <w:tcPr>
            <w:tcW w:w="2835" w:type="dxa"/>
            <w:gridSpan w:val="3"/>
          </w:tcPr>
          <w:p w14:paraId="778A4D00">
            <w:pPr>
              <w:widowControl/>
              <w:jc w:val="center"/>
              <w:rPr>
                <w:rFonts w:hint="eastAsia" w:ascii="仿宋" w:hAnsi="仿宋" w:eastAsia="仿宋"/>
                <w:bCs/>
                <w:spacing w:val="20"/>
                <w:sz w:val="24"/>
              </w:rPr>
            </w:pPr>
            <w:r>
              <w:rPr>
                <w:rFonts w:hint="eastAsia" w:ascii="仿宋" w:hAnsi="仿宋" w:eastAsia="仿宋"/>
                <w:bCs/>
                <w:spacing w:val="30"/>
                <w:kern w:val="0"/>
                <w:sz w:val="24"/>
                <w:fitText w:val="840" w:id="-432738048"/>
              </w:rPr>
              <w:t>学时</w:t>
            </w:r>
            <w:r>
              <w:rPr>
                <w:rFonts w:hint="eastAsia" w:ascii="仿宋" w:hAnsi="仿宋" w:eastAsia="仿宋"/>
                <w:bCs/>
                <w:spacing w:val="0"/>
                <w:kern w:val="0"/>
                <w:sz w:val="24"/>
                <w:fitText w:val="840" w:id="-432738048"/>
              </w:rPr>
              <w:t>数</w:t>
            </w:r>
          </w:p>
        </w:tc>
        <w:tc>
          <w:tcPr>
            <w:tcW w:w="1514" w:type="dxa"/>
            <w:vMerge w:val="restart"/>
            <w:vAlign w:val="center"/>
          </w:tcPr>
          <w:p w14:paraId="0FB8E6EC">
            <w:pPr>
              <w:widowControl/>
              <w:jc w:val="center"/>
              <w:rPr>
                <w:rFonts w:hint="eastAsia" w:ascii="仿宋" w:hAnsi="仿宋" w:eastAsia="仿宋"/>
                <w:bCs/>
                <w:spacing w:val="20"/>
                <w:sz w:val="24"/>
              </w:rPr>
            </w:pPr>
            <w:r>
              <w:rPr>
                <w:rFonts w:hint="eastAsia" w:ascii="仿宋" w:hAnsi="仿宋" w:eastAsia="仿宋"/>
                <w:bCs/>
                <w:spacing w:val="20"/>
                <w:sz w:val="24"/>
              </w:rPr>
              <w:t>授课方式（混合、线下）</w:t>
            </w:r>
          </w:p>
        </w:tc>
        <w:tc>
          <w:tcPr>
            <w:tcW w:w="1321" w:type="dxa"/>
            <w:vMerge w:val="restart"/>
            <w:vAlign w:val="center"/>
          </w:tcPr>
          <w:p w14:paraId="437FB131">
            <w:pPr>
              <w:widowControl/>
              <w:jc w:val="center"/>
              <w:rPr>
                <w:rFonts w:hint="eastAsia" w:ascii="仿宋" w:hAnsi="仿宋" w:eastAsia="仿宋"/>
                <w:bCs/>
                <w:spacing w:val="20"/>
                <w:sz w:val="24"/>
              </w:rPr>
            </w:pPr>
            <w:r>
              <w:rPr>
                <w:rFonts w:hint="eastAsia" w:ascii="仿宋" w:hAnsi="仿宋" w:eastAsia="仿宋"/>
                <w:bCs/>
                <w:spacing w:val="20"/>
                <w:sz w:val="24"/>
              </w:rPr>
              <w:t>开课学期</w:t>
            </w:r>
          </w:p>
        </w:tc>
      </w:tr>
      <w:tr w14:paraId="5A27B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Merge w:val="continue"/>
          </w:tcPr>
          <w:p w14:paraId="46E0B208">
            <w:pPr>
              <w:widowControl/>
              <w:jc w:val="center"/>
              <w:rPr>
                <w:rFonts w:hint="eastAsia" w:ascii="仿宋" w:hAnsi="仿宋" w:eastAsia="仿宋"/>
                <w:b/>
                <w:spacing w:val="20"/>
                <w:sz w:val="24"/>
              </w:rPr>
            </w:pPr>
          </w:p>
        </w:tc>
        <w:tc>
          <w:tcPr>
            <w:tcW w:w="2547" w:type="dxa"/>
            <w:gridSpan w:val="2"/>
            <w:vMerge w:val="continue"/>
            <w:vAlign w:val="center"/>
          </w:tcPr>
          <w:p w14:paraId="351AB852">
            <w:pPr>
              <w:widowControl/>
              <w:jc w:val="center"/>
              <w:rPr>
                <w:rFonts w:hint="eastAsia" w:ascii="仿宋" w:hAnsi="仿宋" w:eastAsia="仿宋"/>
                <w:b/>
                <w:spacing w:val="20"/>
                <w:sz w:val="24"/>
              </w:rPr>
            </w:pPr>
          </w:p>
        </w:tc>
        <w:tc>
          <w:tcPr>
            <w:tcW w:w="992" w:type="dxa"/>
            <w:vMerge w:val="continue"/>
            <w:vAlign w:val="center"/>
          </w:tcPr>
          <w:p w14:paraId="5D1DEC57">
            <w:pPr>
              <w:widowControl/>
              <w:jc w:val="center"/>
              <w:rPr>
                <w:rFonts w:hint="eastAsia" w:ascii="仿宋" w:hAnsi="仿宋" w:eastAsia="仿宋"/>
                <w:b/>
                <w:spacing w:val="20"/>
                <w:sz w:val="24"/>
              </w:rPr>
            </w:pPr>
          </w:p>
        </w:tc>
        <w:tc>
          <w:tcPr>
            <w:tcW w:w="992" w:type="dxa"/>
            <w:vAlign w:val="center"/>
          </w:tcPr>
          <w:p w14:paraId="6000BB8A">
            <w:pPr>
              <w:widowControl/>
              <w:jc w:val="center"/>
              <w:rPr>
                <w:rFonts w:hint="eastAsia" w:ascii="仿宋" w:hAnsi="仿宋" w:eastAsia="仿宋"/>
                <w:bCs/>
                <w:spacing w:val="20"/>
                <w:sz w:val="24"/>
              </w:rPr>
            </w:pPr>
            <w:r>
              <w:rPr>
                <w:rFonts w:hint="eastAsia" w:ascii="仿宋" w:hAnsi="仿宋" w:eastAsia="仿宋"/>
                <w:bCs/>
                <w:sz w:val="24"/>
              </w:rPr>
              <w:t>总学时</w:t>
            </w:r>
          </w:p>
        </w:tc>
        <w:tc>
          <w:tcPr>
            <w:tcW w:w="851" w:type="dxa"/>
            <w:vAlign w:val="center"/>
          </w:tcPr>
          <w:p w14:paraId="17279997">
            <w:pPr>
              <w:widowControl/>
              <w:jc w:val="center"/>
              <w:rPr>
                <w:rFonts w:hint="eastAsia" w:ascii="仿宋" w:hAnsi="仿宋" w:eastAsia="仿宋"/>
                <w:bCs/>
                <w:sz w:val="24"/>
              </w:rPr>
            </w:pPr>
            <w:r>
              <w:rPr>
                <w:rFonts w:hint="eastAsia" w:ascii="仿宋" w:hAnsi="仿宋" w:eastAsia="仿宋"/>
                <w:bCs/>
                <w:sz w:val="24"/>
              </w:rPr>
              <w:t>理论</w:t>
            </w:r>
          </w:p>
          <w:p w14:paraId="653C0461">
            <w:pPr>
              <w:widowControl/>
              <w:jc w:val="center"/>
              <w:rPr>
                <w:rFonts w:hint="eastAsia" w:ascii="仿宋" w:hAnsi="仿宋" w:eastAsia="仿宋"/>
                <w:bCs/>
                <w:spacing w:val="20"/>
                <w:sz w:val="24"/>
              </w:rPr>
            </w:pPr>
            <w:r>
              <w:rPr>
                <w:rFonts w:hint="eastAsia" w:ascii="仿宋" w:hAnsi="仿宋" w:eastAsia="仿宋"/>
                <w:bCs/>
                <w:sz w:val="24"/>
              </w:rPr>
              <w:t>学时</w:t>
            </w:r>
          </w:p>
        </w:tc>
        <w:tc>
          <w:tcPr>
            <w:tcW w:w="992" w:type="dxa"/>
            <w:vAlign w:val="center"/>
          </w:tcPr>
          <w:p w14:paraId="4A80E4DD">
            <w:pPr>
              <w:widowControl/>
              <w:jc w:val="center"/>
              <w:rPr>
                <w:rFonts w:hint="eastAsia" w:ascii="仿宋" w:hAnsi="仿宋" w:eastAsia="仿宋"/>
                <w:bCs/>
                <w:sz w:val="24"/>
              </w:rPr>
            </w:pPr>
            <w:r>
              <w:rPr>
                <w:rFonts w:hint="eastAsia" w:ascii="仿宋" w:hAnsi="仿宋" w:eastAsia="仿宋"/>
                <w:bCs/>
                <w:sz w:val="24"/>
              </w:rPr>
              <w:t>实践</w:t>
            </w:r>
          </w:p>
          <w:p w14:paraId="4DD8D424">
            <w:pPr>
              <w:widowControl/>
              <w:jc w:val="center"/>
              <w:rPr>
                <w:rFonts w:hint="eastAsia" w:ascii="仿宋" w:hAnsi="仿宋" w:eastAsia="仿宋"/>
                <w:bCs/>
                <w:spacing w:val="20"/>
                <w:sz w:val="24"/>
              </w:rPr>
            </w:pPr>
            <w:r>
              <w:rPr>
                <w:rFonts w:hint="eastAsia" w:ascii="仿宋" w:hAnsi="仿宋" w:eastAsia="仿宋"/>
                <w:bCs/>
                <w:sz w:val="24"/>
              </w:rPr>
              <w:t>学时</w:t>
            </w:r>
          </w:p>
        </w:tc>
        <w:tc>
          <w:tcPr>
            <w:tcW w:w="1514" w:type="dxa"/>
            <w:vMerge w:val="continue"/>
            <w:vAlign w:val="center"/>
          </w:tcPr>
          <w:p w14:paraId="124F4B76">
            <w:pPr>
              <w:widowControl/>
              <w:jc w:val="center"/>
              <w:rPr>
                <w:rFonts w:hint="eastAsia" w:ascii="仿宋" w:hAnsi="仿宋" w:eastAsia="仿宋"/>
                <w:b/>
                <w:spacing w:val="20"/>
                <w:sz w:val="24"/>
              </w:rPr>
            </w:pPr>
          </w:p>
        </w:tc>
        <w:tc>
          <w:tcPr>
            <w:tcW w:w="1321" w:type="dxa"/>
            <w:vMerge w:val="continue"/>
            <w:vAlign w:val="center"/>
          </w:tcPr>
          <w:p w14:paraId="070EB44E">
            <w:pPr>
              <w:widowControl/>
              <w:jc w:val="center"/>
              <w:rPr>
                <w:rFonts w:hint="eastAsia" w:ascii="仿宋" w:hAnsi="仿宋" w:eastAsia="仿宋"/>
                <w:b/>
                <w:spacing w:val="20"/>
                <w:szCs w:val="21"/>
              </w:rPr>
            </w:pPr>
          </w:p>
        </w:tc>
      </w:tr>
      <w:tr w14:paraId="16C8F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Align w:val="center"/>
          </w:tcPr>
          <w:p w14:paraId="41ADD94E">
            <w:pPr>
              <w:widowControl/>
              <w:jc w:val="center"/>
              <w:rPr>
                <w:rFonts w:hint="eastAsia" w:ascii="仿宋" w:hAnsi="仿宋" w:eastAsia="仿宋"/>
                <w:bCs/>
                <w:sz w:val="24"/>
              </w:rPr>
            </w:pPr>
            <w:r>
              <w:rPr>
                <w:rFonts w:hint="eastAsia" w:ascii="仿宋" w:hAnsi="仿宋" w:eastAsia="仿宋"/>
                <w:bCs/>
                <w:sz w:val="24"/>
              </w:rPr>
              <w:t>1</w:t>
            </w:r>
          </w:p>
        </w:tc>
        <w:tc>
          <w:tcPr>
            <w:tcW w:w="2547" w:type="dxa"/>
            <w:gridSpan w:val="2"/>
            <w:vAlign w:val="center"/>
          </w:tcPr>
          <w:p w14:paraId="4576659E">
            <w:pPr>
              <w:widowControl/>
              <w:jc w:val="center"/>
              <w:rPr>
                <w:rFonts w:hint="eastAsia" w:ascii="仿宋" w:hAnsi="仿宋" w:eastAsia="仿宋"/>
                <w:bCs/>
                <w:sz w:val="24"/>
              </w:rPr>
            </w:pPr>
            <w:r>
              <w:rPr>
                <w:rFonts w:hint="eastAsia" w:ascii="仿宋" w:hAnsi="仿宋" w:eastAsia="仿宋"/>
                <w:bCs/>
                <w:sz w:val="24"/>
              </w:rPr>
              <w:t>测试技术与设备发展</w:t>
            </w:r>
          </w:p>
        </w:tc>
        <w:tc>
          <w:tcPr>
            <w:tcW w:w="992" w:type="dxa"/>
            <w:vAlign w:val="center"/>
          </w:tcPr>
          <w:p w14:paraId="6A2547E5">
            <w:pPr>
              <w:widowControl/>
              <w:jc w:val="center"/>
              <w:rPr>
                <w:rFonts w:hint="eastAsia" w:ascii="仿宋" w:hAnsi="仿宋" w:eastAsia="仿宋"/>
                <w:bCs/>
                <w:sz w:val="24"/>
              </w:rPr>
            </w:pPr>
            <w:r>
              <w:rPr>
                <w:rFonts w:hint="eastAsia" w:ascii="仿宋" w:hAnsi="仿宋" w:eastAsia="仿宋"/>
                <w:bCs/>
                <w:sz w:val="24"/>
              </w:rPr>
              <w:t>1</w:t>
            </w:r>
          </w:p>
        </w:tc>
        <w:tc>
          <w:tcPr>
            <w:tcW w:w="992" w:type="dxa"/>
            <w:vAlign w:val="center"/>
          </w:tcPr>
          <w:p w14:paraId="334412CE">
            <w:pPr>
              <w:widowControl/>
              <w:jc w:val="center"/>
              <w:rPr>
                <w:rFonts w:hint="eastAsia" w:ascii="仿宋" w:hAnsi="仿宋" w:eastAsia="仿宋"/>
                <w:bCs/>
                <w:sz w:val="24"/>
              </w:rPr>
            </w:pPr>
            <w:r>
              <w:rPr>
                <w:rFonts w:hint="eastAsia" w:ascii="仿宋" w:hAnsi="仿宋" w:eastAsia="仿宋"/>
                <w:bCs/>
                <w:sz w:val="24"/>
              </w:rPr>
              <w:t>16</w:t>
            </w:r>
          </w:p>
        </w:tc>
        <w:tc>
          <w:tcPr>
            <w:tcW w:w="851" w:type="dxa"/>
            <w:vAlign w:val="center"/>
          </w:tcPr>
          <w:p w14:paraId="559230EA">
            <w:pPr>
              <w:widowControl/>
              <w:jc w:val="center"/>
              <w:rPr>
                <w:rFonts w:hint="eastAsia" w:ascii="仿宋" w:hAnsi="仿宋" w:eastAsia="仿宋"/>
                <w:bCs/>
                <w:sz w:val="24"/>
              </w:rPr>
            </w:pPr>
            <w:r>
              <w:rPr>
                <w:rFonts w:hint="eastAsia" w:ascii="仿宋" w:hAnsi="仿宋" w:eastAsia="仿宋"/>
                <w:bCs/>
                <w:sz w:val="24"/>
              </w:rPr>
              <w:t>12</w:t>
            </w:r>
          </w:p>
        </w:tc>
        <w:tc>
          <w:tcPr>
            <w:tcW w:w="992" w:type="dxa"/>
            <w:vAlign w:val="center"/>
          </w:tcPr>
          <w:p w14:paraId="646B772B">
            <w:pPr>
              <w:widowControl/>
              <w:jc w:val="center"/>
              <w:rPr>
                <w:rFonts w:hint="eastAsia" w:ascii="仿宋" w:hAnsi="仿宋" w:eastAsia="仿宋"/>
                <w:bCs/>
                <w:sz w:val="24"/>
              </w:rPr>
            </w:pPr>
            <w:r>
              <w:rPr>
                <w:rFonts w:hint="eastAsia" w:ascii="仿宋" w:hAnsi="仿宋" w:eastAsia="仿宋"/>
                <w:bCs/>
                <w:sz w:val="24"/>
              </w:rPr>
              <w:t>4</w:t>
            </w:r>
          </w:p>
        </w:tc>
        <w:tc>
          <w:tcPr>
            <w:tcW w:w="1514" w:type="dxa"/>
            <w:vAlign w:val="center"/>
          </w:tcPr>
          <w:p w14:paraId="09C7979F">
            <w:pPr>
              <w:widowControl/>
              <w:jc w:val="center"/>
              <w:rPr>
                <w:rFonts w:hint="eastAsia" w:ascii="仿宋" w:hAnsi="仿宋" w:eastAsia="仿宋"/>
                <w:bCs/>
                <w:sz w:val="24"/>
              </w:rPr>
            </w:pPr>
            <w:r>
              <w:rPr>
                <w:rFonts w:hint="eastAsia" w:ascii="仿宋" w:hAnsi="仿宋" w:eastAsia="仿宋"/>
                <w:bCs/>
                <w:sz w:val="24"/>
              </w:rPr>
              <w:t>混合</w:t>
            </w:r>
          </w:p>
        </w:tc>
        <w:tc>
          <w:tcPr>
            <w:tcW w:w="1321" w:type="dxa"/>
            <w:vAlign w:val="center"/>
          </w:tcPr>
          <w:p w14:paraId="491070EC">
            <w:pPr>
              <w:widowControl/>
              <w:jc w:val="center"/>
              <w:rPr>
                <w:rFonts w:hint="eastAsia" w:ascii="仿宋" w:hAnsi="仿宋" w:eastAsia="仿宋"/>
                <w:bCs/>
                <w:sz w:val="24"/>
              </w:rPr>
            </w:pPr>
            <w:r>
              <w:rPr>
                <w:rFonts w:hint="eastAsia" w:ascii="仿宋" w:hAnsi="仿宋" w:eastAsia="仿宋"/>
                <w:bCs/>
                <w:sz w:val="24"/>
              </w:rPr>
              <w:t>微专业一</w:t>
            </w:r>
          </w:p>
        </w:tc>
      </w:tr>
      <w:tr w14:paraId="0AD04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Align w:val="center"/>
          </w:tcPr>
          <w:p w14:paraId="36A4CA57">
            <w:pPr>
              <w:widowControl/>
              <w:jc w:val="center"/>
              <w:rPr>
                <w:rFonts w:hint="eastAsia" w:ascii="仿宋" w:hAnsi="仿宋" w:eastAsia="仿宋"/>
                <w:bCs/>
                <w:sz w:val="24"/>
              </w:rPr>
            </w:pPr>
            <w:r>
              <w:rPr>
                <w:rFonts w:hint="eastAsia" w:ascii="仿宋" w:hAnsi="仿宋" w:eastAsia="仿宋"/>
                <w:bCs/>
                <w:sz w:val="24"/>
              </w:rPr>
              <w:t>2</w:t>
            </w:r>
          </w:p>
        </w:tc>
        <w:tc>
          <w:tcPr>
            <w:tcW w:w="2547" w:type="dxa"/>
            <w:gridSpan w:val="2"/>
            <w:vAlign w:val="center"/>
          </w:tcPr>
          <w:p w14:paraId="6AF33688">
            <w:pPr>
              <w:widowControl/>
              <w:jc w:val="center"/>
              <w:rPr>
                <w:rFonts w:hint="eastAsia" w:ascii="仿宋" w:hAnsi="仿宋" w:eastAsia="仿宋"/>
                <w:bCs/>
                <w:sz w:val="24"/>
              </w:rPr>
            </w:pPr>
            <w:r>
              <w:rPr>
                <w:rFonts w:hint="eastAsia" w:ascii="仿宋" w:hAnsi="仿宋" w:eastAsia="仿宋"/>
                <w:bCs/>
                <w:sz w:val="24"/>
              </w:rPr>
              <w:t>硬件电路设计与PCB制板</w:t>
            </w:r>
          </w:p>
        </w:tc>
        <w:tc>
          <w:tcPr>
            <w:tcW w:w="992" w:type="dxa"/>
            <w:vAlign w:val="center"/>
          </w:tcPr>
          <w:p w14:paraId="0F7FF1D3">
            <w:pPr>
              <w:widowControl/>
              <w:jc w:val="center"/>
              <w:rPr>
                <w:rFonts w:hint="eastAsia" w:ascii="仿宋" w:hAnsi="仿宋" w:eastAsia="仿宋"/>
                <w:bCs/>
                <w:sz w:val="24"/>
              </w:rPr>
            </w:pPr>
            <w:r>
              <w:rPr>
                <w:rFonts w:hint="eastAsia" w:ascii="仿宋" w:hAnsi="仿宋" w:eastAsia="仿宋"/>
                <w:bCs/>
                <w:sz w:val="24"/>
              </w:rPr>
              <w:t>3</w:t>
            </w:r>
          </w:p>
        </w:tc>
        <w:tc>
          <w:tcPr>
            <w:tcW w:w="992" w:type="dxa"/>
            <w:vAlign w:val="center"/>
          </w:tcPr>
          <w:p w14:paraId="3A6CED37">
            <w:pPr>
              <w:widowControl/>
              <w:jc w:val="center"/>
              <w:rPr>
                <w:rFonts w:hint="eastAsia" w:ascii="仿宋" w:hAnsi="仿宋" w:eastAsia="仿宋"/>
                <w:bCs/>
                <w:sz w:val="24"/>
              </w:rPr>
            </w:pPr>
            <w:r>
              <w:rPr>
                <w:rFonts w:hint="eastAsia" w:ascii="仿宋" w:hAnsi="仿宋" w:eastAsia="仿宋"/>
                <w:bCs/>
                <w:sz w:val="24"/>
              </w:rPr>
              <w:t>48</w:t>
            </w:r>
          </w:p>
        </w:tc>
        <w:tc>
          <w:tcPr>
            <w:tcW w:w="851" w:type="dxa"/>
            <w:vAlign w:val="center"/>
          </w:tcPr>
          <w:p w14:paraId="7FD52E58">
            <w:pPr>
              <w:widowControl/>
              <w:jc w:val="center"/>
              <w:rPr>
                <w:rFonts w:hint="eastAsia" w:ascii="仿宋" w:hAnsi="仿宋" w:eastAsia="仿宋"/>
                <w:bCs/>
                <w:sz w:val="24"/>
              </w:rPr>
            </w:pPr>
            <w:r>
              <w:rPr>
                <w:rFonts w:hint="eastAsia" w:ascii="仿宋" w:hAnsi="仿宋" w:eastAsia="仿宋"/>
                <w:bCs/>
                <w:sz w:val="24"/>
              </w:rPr>
              <w:t>20</w:t>
            </w:r>
          </w:p>
        </w:tc>
        <w:tc>
          <w:tcPr>
            <w:tcW w:w="992" w:type="dxa"/>
            <w:vAlign w:val="center"/>
          </w:tcPr>
          <w:p w14:paraId="305FDE3B">
            <w:pPr>
              <w:widowControl/>
              <w:jc w:val="center"/>
              <w:rPr>
                <w:rFonts w:hint="eastAsia" w:ascii="仿宋" w:hAnsi="仿宋" w:eastAsia="仿宋"/>
                <w:bCs/>
                <w:sz w:val="24"/>
              </w:rPr>
            </w:pPr>
            <w:r>
              <w:rPr>
                <w:rFonts w:hint="eastAsia" w:ascii="仿宋" w:hAnsi="仿宋" w:eastAsia="仿宋"/>
                <w:bCs/>
                <w:sz w:val="24"/>
              </w:rPr>
              <w:t>28</w:t>
            </w:r>
          </w:p>
        </w:tc>
        <w:tc>
          <w:tcPr>
            <w:tcW w:w="1514" w:type="dxa"/>
            <w:vAlign w:val="center"/>
          </w:tcPr>
          <w:p w14:paraId="68DD4570">
            <w:pPr>
              <w:widowControl/>
              <w:jc w:val="center"/>
              <w:rPr>
                <w:rFonts w:hint="eastAsia" w:ascii="仿宋" w:hAnsi="仿宋" w:eastAsia="仿宋"/>
                <w:bCs/>
                <w:sz w:val="24"/>
              </w:rPr>
            </w:pPr>
            <w:r>
              <w:rPr>
                <w:rFonts w:hint="eastAsia" w:ascii="仿宋" w:hAnsi="仿宋" w:eastAsia="仿宋"/>
                <w:bCs/>
                <w:sz w:val="24"/>
              </w:rPr>
              <w:t>混合</w:t>
            </w:r>
          </w:p>
        </w:tc>
        <w:tc>
          <w:tcPr>
            <w:tcW w:w="1321" w:type="dxa"/>
            <w:vAlign w:val="center"/>
          </w:tcPr>
          <w:p w14:paraId="0BBDC8E2">
            <w:pPr>
              <w:widowControl/>
              <w:jc w:val="center"/>
              <w:rPr>
                <w:rFonts w:hint="eastAsia" w:ascii="仿宋" w:hAnsi="仿宋" w:eastAsia="仿宋"/>
                <w:bCs/>
                <w:sz w:val="24"/>
              </w:rPr>
            </w:pPr>
            <w:r>
              <w:rPr>
                <w:rFonts w:hint="eastAsia" w:ascii="仿宋" w:hAnsi="仿宋" w:eastAsia="仿宋"/>
                <w:bCs/>
                <w:sz w:val="24"/>
              </w:rPr>
              <w:t>微专业一</w:t>
            </w:r>
          </w:p>
        </w:tc>
      </w:tr>
      <w:tr w14:paraId="7A8E3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Align w:val="center"/>
          </w:tcPr>
          <w:p w14:paraId="746E0FB5">
            <w:pPr>
              <w:widowControl/>
              <w:jc w:val="center"/>
              <w:rPr>
                <w:rFonts w:hint="eastAsia" w:ascii="仿宋" w:hAnsi="仿宋" w:eastAsia="仿宋"/>
                <w:bCs/>
                <w:sz w:val="24"/>
              </w:rPr>
            </w:pPr>
            <w:r>
              <w:rPr>
                <w:rFonts w:hint="eastAsia" w:ascii="仿宋" w:hAnsi="仿宋" w:eastAsia="仿宋"/>
                <w:bCs/>
                <w:sz w:val="24"/>
              </w:rPr>
              <w:t>3</w:t>
            </w:r>
          </w:p>
        </w:tc>
        <w:tc>
          <w:tcPr>
            <w:tcW w:w="2547" w:type="dxa"/>
            <w:gridSpan w:val="2"/>
            <w:vAlign w:val="center"/>
          </w:tcPr>
          <w:p w14:paraId="3D5D7F07">
            <w:pPr>
              <w:widowControl/>
              <w:jc w:val="center"/>
              <w:rPr>
                <w:rFonts w:hint="eastAsia" w:ascii="仿宋" w:hAnsi="仿宋" w:eastAsia="仿宋"/>
                <w:bCs/>
                <w:sz w:val="24"/>
              </w:rPr>
            </w:pPr>
            <w:r>
              <w:rPr>
                <w:rFonts w:hint="eastAsia" w:ascii="仿宋" w:hAnsi="仿宋" w:eastAsia="仿宋"/>
                <w:bCs/>
                <w:sz w:val="24"/>
              </w:rPr>
              <w:t>电子装调与硬件调试</w:t>
            </w:r>
          </w:p>
        </w:tc>
        <w:tc>
          <w:tcPr>
            <w:tcW w:w="992" w:type="dxa"/>
            <w:vAlign w:val="center"/>
          </w:tcPr>
          <w:p w14:paraId="46DEF527">
            <w:pPr>
              <w:widowControl/>
              <w:jc w:val="center"/>
              <w:rPr>
                <w:rFonts w:hint="eastAsia" w:ascii="仿宋" w:hAnsi="仿宋" w:eastAsia="仿宋"/>
                <w:bCs/>
                <w:sz w:val="24"/>
              </w:rPr>
            </w:pPr>
            <w:r>
              <w:rPr>
                <w:rFonts w:hint="eastAsia" w:ascii="仿宋" w:hAnsi="仿宋" w:eastAsia="仿宋"/>
                <w:bCs/>
                <w:sz w:val="24"/>
              </w:rPr>
              <w:t>3</w:t>
            </w:r>
          </w:p>
        </w:tc>
        <w:tc>
          <w:tcPr>
            <w:tcW w:w="992" w:type="dxa"/>
            <w:vAlign w:val="center"/>
          </w:tcPr>
          <w:p w14:paraId="726FA930">
            <w:pPr>
              <w:widowControl/>
              <w:jc w:val="center"/>
              <w:rPr>
                <w:rFonts w:hint="eastAsia" w:ascii="仿宋" w:hAnsi="仿宋" w:eastAsia="仿宋"/>
                <w:bCs/>
                <w:sz w:val="24"/>
              </w:rPr>
            </w:pPr>
            <w:r>
              <w:rPr>
                <w:rFonts w:hint="eastAsia" w:ascii="仿宋" w:hAnsi="仿宋" w:eastAsia="仿宋"/>
                <w:bCs/>
                <w:sz w:val="24"/>
              </w:rPr>
              <w:t>48</w:t>
            </w:r>
          </w:p>
        </w:tc>
        <w:tc>
          <w:tcPr>
            <w:tcW w:w="851" w:type="dxa"/>
            <w:vAlign w:val="center"/>
          </w:tcPr>
          <w:p w14:paraId="40BA9657">
            <w:pPr>
              <w:widowControl/>
              <w:jc w:val="center"/>
              <w:rPr>
                <w:rFonts w:hint="eastAsia" w:ascii="仿宋" w:hAnsi="仿宋" w:eastAsia="仿宋"/>
                <w:bCs/>
                <w:sz w:val="24"/>
              </w:rPr>
            </w:pPr>
            <w:r>
              <w:rPr>
                <w:rFonts w:hint="eastAsia" w:ascii="仿宋" w:hAnsi="仿宋" w:eastAsia="仿宋"/>
                <w:bCs/>
                <w:sz w:val="24"/>
              </w:rPr>
              <w:t>16</w:t>
            </w:r>
          </w:p>
        </w:tc>
        <w:tc>
          <w:tcPr>
            <w:tcW w:w="992" w:type="dxa"/>
            <w:vAlign w:val="center"/>
          </w:tcPr>
          <w:p w14:paraId="512663D7">
            <w:pPr>
              <w:widowControl/>
              <w:jc w:val="center"/>
              <w:rPr>
                <w:rFonts w:hint="eastAsia" w:ascii="仿宋" w:hAnsi="仿宋" w:eastAsia="仿宋"/>
                <w:bCs/>
                <w:sz w:val="24"/>
              </w:rPr>
            </w:pPr>
            <w:r>
              <w:rPr>
                <w:rFonts w:hint="eastAsia" w:ascii="仿宋" w:hAnsi="仿宋" w:eastAsia="仿宋"/>
                <w:bCs/>
                <w:sz w:val="24"/>
              </w:rPr>
              <w:t>32</w:t>
            </w:r>
          </w:p>
        </w:tc>
        <w:tc>
          <w:tcPr>
            <w:tcW w:w="1514" w:type="dxa"/>
            <w:vAlign w:val="center"/>
          </w:tcPr>
          <w:p w14:paraId="48D11FF2">
            <w:pPr>
              <w:widowControl/>
              <w:jc w:val="center"/>
              <w:rPr>
                <w:rFonts w:hint="eastAsia" w:ascii="仿宋" w:hAnsi="仿宋" w:eastAsia="仿宋"/>
                <w:bCs/>
                <w:sz w:val="24"/>
              </w:rPr>
            </w:pPr>
            <w:r>
              <w:rPr>
                <w:rFonts w:hint="eastAsia" w:ascii="仿宋" w:hAnsi="仿宋" w:eastAsia="仿宋"/>
                <w:bCs/>
                <w:sz w:val="24"/>
              </w:rPr>
              <w:t>混合</w:t>
            </w:r>
          </w:p>
        </w:tc>
        <w:tc>
          <w:tcPr>
            <w:tcW w:w="1321" w:type="dxa"/>
            <w:vAlign w:val="center"/>
          </w:tcPr>
          <w:p w14:paraId="19C375E3">
            <w:pPr>
              <w:widowControl/>
              <w:jc w:val="center"/>
              <w:rPr>
                <w:rFonts w:hint="eastAsia" w:ascii="仿宋" w:hAnsi="仿宋" w:eastAsia="仿宋"/>
                <w:bCs/>
                <w:sz w:val="24"/>
              </w:rPr>
            </w:pPr>
            <w:r>
              <w:rPr>
                <w:rFonts w:hint="eastAsia" w:ascii="仿宋" w:hAnsi="仿宋" w:eastAsia="仿宋"/>
                <w:bCs/>
                <w:sz w:val="24"/>
              </w:rPr>
              <w:t>微专业二</w:t>
            </w:r>
          </w:p>
        </w:tc>
      </w:tr>
      <w:tr w14:paraId="45D4E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Align w:val="center"/>
          </w:tcPr>
          <w:p w14:paraId="3D39A694">
            <w:pPr>
              <w:widowControl/>
              <w:jc w:val="center"/>
              <w:rPr>
                <w:rFonts w:hint="eastAsia" w:ascii="仿宋" w:hAnsi="仿宋" w:eastAsia="仿宋"/>
                <w:bCs/>
                <w:sz w:val="24"/>
              </w:rPr>
            </w:pPr>
            <w:r>
              <w:rPr>
                <w:rFonts w:hint="eastAsia" w:ascii="仿宋" w:hAnsi="仿宋" w:eastAsia="仿宋"/>
                <w:bCs/>
                <w:sz w:val="24"/>
              </w:rPr>
              <w:t>4</w:t>
            </w:r>
          </w:p>
        </w:tc>
        <w:tc>
          <w:tcPr>
            <w:tcW w:w="2547" w:type="dxa"/>
            <w:gridSpan w:val="2"/>
            <w:vAlign w:val="center"/>
          </w:tcPr>
          <w:p w14:paraId="67B8409F">
            <w:pPr>
              <w:widowControl/>
              <w:jc w:val="center"/>
              <w:rPr>
                <w:rFonts w:hint="eastAsia" w:ascii="仿宋" w:hAnsi="仿宋" w:eastAsia="仿宋"/>
                <w:bCs/>
                <w:sz w:val="24"/>
              </w:rPr>
            </w:pPr>
            <w:r>
              <w:rPr>
                <w:rFonts w:hint="eastAsia" w:ascii="仿宋" w:hAnsi="仿宋" w:eastAsia="仿宋"/>
                <w:bCs/>
                <w:sz w:val="24"/>
              </w:rPr>
              <w:t>仪器控制与测试系统集成</w:t>
            </w:r>
          </w:p>
        </w:tc>
        <w:tc>
          <w:tcPr>
            <w:tcW w:w="992" w:type="dxa"/>
            <w:vAlign w:val="center"/>
          </w:tcPr>
          <w:p w14:paraId="22941132">
            <w:pPr>
              <w:widowControl/>
              <w:jc w:val="center"/>
              <w:rPr>
                <w:rFonts w:hint="eastAsia" w:ascii="仿宋" w:hAnsi="仿宋" w:eastAsia="仿宋"/>
                <w:bCs/>
                <w:sz w:val="24"/>
              </w:rPr>
            </w:pPr>
            <w:r>
              <w:rPr>
                <w:rFonts w:hint="eastAsia" w:ascii="仿宋" w:hAnsi="仿宋" w:eastAsia="仿宋"/>
                <w:bCs/>
                <w:sz w:val="24"/>
              </w:rPr>
              <w:t>3</w:t>
            </w:r>
          </w:p>
        </w:tc>
        <w:tc>
          <w:tcPr>
            <w:tcW w:w="992" w:type="dxa"/>
            <w:vAlign w:val="center"/>
          </w:tcPr>
          <w:p w14:paraId="25646130">
            <w:pPr>
              <w:widowControl/>
              <w:jc w:val="center"/>
              <w:rPr>
                <w:rFonts w:hint="eastAsia" w:ascii="仿宋" w:hAnsi="仿宋" w:eastAsia="仿宋"/>
                <w:bCs/>
                <w:sz w:val="24"/>
              </w:rPr>
            </w:pPr>
            <w:r>
              <w:rPr>
                <w:rFonts w:hint="eastAsia" w:ascii="仿宋" w:hAnsi="仿宋" w:eastAsia="仿宋"/>
                <w:bCs/>
                <w:sz w:val="24"/>
              </w:rPr>
              <w:t>48</w:t>
            </w:r>
          </w:p>
        </w:tc>
        <w:tc>
          <w:tcPr>
            <w:tcW w:w="851" w:type="dxa"/>
            <w:vAlign w:val="center"/>
          </w:tcPr>
          <w:p w14:paraId="16F146DB">
            <w:pPr>
              <w:widowControl/>
              <w:jc w:val="center"/>
              <w:rPr>
                <w:rFonts w:hint="eastAsia" w:ascii="仿宋" w:hAnsi="仿宋" w:eastAsia="仿宋"/>
                <w:bCs/>
                <w:sz w:val="24"/>
              </w:rPr>
            </w:pPr>
            <w:r>
              <w:rPr>
                <w:rFonts w:ascii="仿宋" w:hAnsi="仿宋" w:eastAsia="仿宋"/>
                <w:bCs/>
                <w:sz w:val="24"/>
              </w:rPr>
              <w:t>1</w:t>
            </w:r>
            <w:r>
              <w:rPr>
                <w:rFonts w:hint="eastAsia" w:ascii="仿宋" w:hAnsi="仿宋" w:eastAsia="仿宋"/>
                <w:bCs/>
                <w:sz w:val="24"/>
              </w:rPr>
              <w:t>8</w:t>
            </w:r>
          </w:p>
        </w:tc>
        <w:tc>
          <w:tcPr>
            <w:tcW w:w="992" w:type="dxa"/>
            <w:vAlign w:val="center"/>
          </w:tcPr>
          <w:p w14:paraId="4137FFEC">
            <w:pPr>
              <w:widowControl/>
              <w:jc w:val="center"/>
              <w:rPr>
                <w:rFonts w:hint="eastAsia" w:ascii="仿宋" w:hAnsi="仿宋" w:eastAsia="仿宋"/>
                <w:bCs/>
                <w:sz w:val="24"/>
              </w:rPr>
            </w:pPr>
            <w:r>
              <w:rPr>
                <w:rFonts w:hint="eastAsia" w:ascii="仿宋" w:hAnsi="仿宋" w:eastAsia="仿宋"/>
                <w:bCs/>
                <w:sz w:val="24"/>
              </w:rPr>
              <w:t>30</w:t>
            </w:r>
          </w:p>
        </w:tc>
        <w:tc>
          <w:tcPr>
            <w:tcW w:w="1514" w:type="dxa"/>
            <w:vAlign w:val="center"/>
          </w:tcPr>
          <w:p w14:paraId="1C61DBB3">
            <w:pPr>
              <w:widowControl/>
              <w:jc w:val="center"/>
              <w:rPr>
                <w:rFonts w:hint="eastAsia" w:ascii="仿宋" w:hAnsi="仿宋" w:eastAsia="仿宋"/>
                <w:bCs/>
                <w:sz w:val="24"/>
              </w:rPr>
            </w:pPr>
            <w:r>
              <w:rPr>
                <w:rFonts w:hint="eastAsia" w:ascii="仿宋" w:hAnsi="仿宋" w:eastAsia="仿宋"/>
                <w:bCs/>
                <w:sz w:val="24"/>
              </w:rPr>
              <w:t>混合</w:t>
            </w:r>
          </w:p>
        </w:tc>
        <w:tc>
          <w:tcPr>
            <w:tcW w:w="1321" w:type="dxa"/>
            <w:vAlign w:val="center"/>
          </w:tcPr>
          <w:p w14:paraId="71362922">
            <w:pPr>
              <w:widowControl/>
              <w:jc w:val="center"/>
              <w:rPr>
                <w:rFonts w:hint="eastAsia" w:ascii="仿宋" w:hAnsi="仿宋" w:eastAsia="仿宋"/>
                <w:bCs/>
                <w:sz w:val="24"/>
              </w:rPr>
            </w:pPr>
            <w:r>
              <w:rPr>
                <w:rFonts w:hint="eastAsia" w:ascii="仿宋" w:hAnsi="仿宋" w:eastAsia="仿宋"/>
                <w:bCs/>
                <w:sz w:val="24"/>
              </w:rPr>
              <w:t>微专业二</w:t>
            </w:r>
          </w:p>
        </w:tc>
      </w:tr>
      <w:tr w14:paraId="04CCA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tcBorders>
              <w:bottom w:val="single" w:color="auto" w:sz="4" w:space="0"/>
            </w:tcBorders>
            <w:vAlign w:val="center"/>
          </w:tcPr>
          <w:p w14:paraId="137B0B84">
            <w:pPr>
              <w:widowControl/>
              <w:jc w:val="center"/>
              <w:rPr>
                <w:rFonts w:hint="eastAsia" w:ascii="仿宋" w:hAnsi="仿宋" w:eastAsia="仿宋"/>
                <w:bCs/>
                <w:sz w:val="24"/>
              </w:rPr>
            </w:pPr>
          </w:p>
        </w:tc>
        <w:tc>
          <w:tcPr>
            <w:tcW w:w="2547" w:type="dxa"/>
            <w:gridSpan w:val="2"/>
            <w:tcBorders>
              <w:bottom w:val="single" w:color="auto" w:sz="4" w:space="0"/>
            </w:tcBorders>
            <w:vAlign w:val="center"/>
          </w:tcPr>
          <w:p w14:paraId="7275843E">
            <w:pPr>
              <w:widowControl/>
              <w:jc w:val="center"/>
              <w:rPr>
                <w:rFonts w:hint="eastAsia" w:ascii="仿宋" w:hAnsi="仿宋" w:eastAsia="仿宋"/>
                <w:bCs/>
                <w:sz w:val="24"/>
              </w:rPr>
            </w:pPr>
            <w:r>
              <w:rPr>
                <w:rFonts w:hint="eastAsia" w:ascii="仿宋" w:hAnsi="仿宋" w:eastAsia="仿宋"/>
                <w:bCs/>
                <w:sz w:val="24"/>
              </w:rPr>
              <w:t>合计</w:t>
            </w:r>
          </w:p>
        </w:tc>
        <w:tc>
          <w:tcPr>
            <w:tcW w:w="992" w:type="dxa"/>
            <w:tcBorders>
              <w:bottom w:val="single" w:color="auto" w:sz="4" w:space="0"/>
            </w:tcBorders>
            <w:vAlign w:val="center"/>
          </w:tcPr>
          <w:p w14:paraId="215F2EB1">
            <w:pPr>
              <w:widowControl/>
              <w:jc w:val="center"/>
              <w:rPr>
                <w:rFonts w:hint="eastAsia" w:ascii="仿宋" w:hAnsi="仿宋" w:eastAsia="仿宋"/>
                <w:bCs/>
                <w:sz w:val="24"/>
              </w:rPr>
            </w:pPr>
            <w:r>
              <w:rPr>
                <w:rFonts w:hint="eastAsia" w:ascii="仿宋" w:hAnsi="仿宋" w:eastAsia="仿宋"/>
                <w:bCs/>
                <w:sz w:val="24"/>
              </w:rPr>
              <w:t>10</w:t>
            </w:r>
          </w:p>
        </w:tc>
        <w:tc>
          <w:tcPr>
            <w:tcW w:w="992" w:type="dxa"/>
            <w:tcBorders>
              <w:bottom w:val="single" w:color="auto" w:sz="4" w:space="0"/>
            </w:tcBorders>
            <w:vAlign w:val="center"/>
          </w:tcPr>
          <w:p w14:paraId="5B8F12FE">
            <w:pPr>
              <w:widowControl/>
              <w:jc w:val="center"/>
              <w:rPr>
                <w:rFonts w:hint="eastAsia" w:ascii="仿宋" w:hAnsi="仿宋" w:eastAsia="仿宋"/>
                <w:bCs/>
                <w:sz w:val="24"/>
              </w:rPr>
            </w:pPr>
            <w:r>
              <w:rPr>
                <w:rFonts w:hint="eastAsia" w:ascii="仿宋" w:hAnsi="仿宋" w:eastAsia="仿宋"/>
                <w:bCs/>
                <w:sz w:val="24"/>
              </w:rPr>
              <w:t>160</w:t>
            </w:r>
          </w:p>
        </w:tc>
        <w:tc>
          <w:tcPr>
            <w:tcW w:w="851" w:type="dxa"/>
            <w:tcBorders>
              <w:bottom w:val="single" w:color="auto" w:sz="4" w:space="0"/>
            </w:tcBorders>
            <w:vAlign w:val="center"/>
          </w:tcPr>
          <w:p w14:paraId="1AD87A2F">
            <w:pPr>
              <w:widowControl/>
              <w:jc w:val="center"/>
              <w:rPr>
                <w:rFonts w:hint="eastAsia" w:ascii="仿宋" w:hAnsi="仿宋" w:eastAsia="仿宋"/>
                <w:bCs/>
                <w:sz w:val="24"/>
              </w:rPr>
            </w:pPr>
            <w:r>
              <w:rPr>
                <w:rFonts w:hint="eastAsia" w:ascii="仿宋" w:hAnsi="仿宋" w:eastAsia="仿宋"/>
                <w:bCs/>
                <w:sz w:val="24"/>
              </w:rPr>
              <w:t>66</w:t>
            </w:r>
          </w:p>
        </w:tc>
        <w:tc>
          <w:tcPr>
            <w:tcW w:w="992" w:type="dxa"/>
            <w:tcBorders>
              <w:bottom w:val="single" w:color="auto" w:sz="4" w:space="0"/>
            </w:tcBorders>
            <w:vAlign w:val="center"/>
          </w:tcPr>
          <w:p w14:paraId="7DD423BA">
            <w:pPr>
              <w:widowControl/>
              <w:jc w:val="center"/>
              <w:rPr>
                <w:rFonts w:hint="eastAsia" w:ascii="仿宋" w:hAnsi="仿宋" w:eastAsia="仿宋"/>
                <w:bCs/>
                <w:sz w:val="24"/>
              </w:rPr>
            </w:pPr>
            <w:r>
              <w:rPr>
                <w:rFonts w:hint="eastAsia" w:ascii="仿宋" w:hAnsi="仿宋" w:eastAsia="仿宋"/>
                <w:bCs/>
                <w:sz w:val="24"/>
              </w:rPr>
              <w:t>94</w:t>
            </w:r>
          </w:p>
        </w:tc>
        <w:tc>
          <w:tcPr>
            <w:tcW w:w="1514" w:type="dxa"/>
            <w:tcBorders>
              <w:bottom w:val="single" w:color="auto" w:sz="4" w:space="0"/>
            </w:tcBorders>
            <w:vAlign w:val="center"/>
          </w:tcPr>
          <w:p w14:paraId="4E6BA1C9">
            <w:pPr>
              <w:widowControl/>
              <w:jc w:val="center"/>
              <w:rPr>
                <w:rFonts w:hint="eastAsia" w:ascii="仿宋" w:hAnsi="仿宋" w:eastAsia="仿宋"/>
                <w:bCs/>
                <w:sz w:val="24"/>
              </w:rPr>
            </w:pPr>
            <w:r>
              <w:rPr>
                <w:rFonts w:hint="eastAsia" w:ascii="仿宋" w:hAnsi="仿宋" w:eastAsia="仿宋"/>
                <w:bCs/>
                <w:sz w:val="24"/>
              </w:rPr>
              <w:t>混合</w:t>
            </w:r>
          </w:p>
        </w:tc>
        <w:tc>
          <w:tcPr>
            <w:tcW w:w="1321" w:type="dxa"/>
            <w:tcBorders>
              <w:bottom w:val="single" w:color="auto" w:sz="4" w:space="0"/>
            </w:tcBorders>
            <w:vAlign w:val="center"/>
          </w:tcPr>
          <w:p w14:paraId="122A88BE">
            <w:pPr>
              <w:widowControl/>
              <w:jc w:val="center"/>
              <w:rPr>
                <w:rFonts w:hint="eastAsia" w:ascii="仿宋" w:hAnsi="仿宋" w:eastAsia="仿宋"/>
                <w:bCs/>
                <w:sz w:val="24"/>
                <w:highlight w:val="yellow"/>
              </w:rPr>
            </w:pPr>
          </w:p>
        </w:tc>
      </w:tr>
      <w:tr w14:paraId="25747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2" w:hRule="atLeast"/>
          <w:jc w:val="center"/>
        </w:trPr>
        <w:tc>
          <w:tcPr>
            <w:tcW w:w="1696" w:type="dxa"/>
            <w:gridSpan w:val="2"/>
            <w:vMerge w:val="restart"/>
            <w:tcBorders>
              <w:top w:val="single" w:color="auto" w:sz="4" w:space="0"/>
            </w:tcBorders>
            <w:vAlign w:val="center"/>
          </w:tcPr>
          <w:p w14:paraId="3AA2BF0E">
            <w:pPr>
              <w:widowControl/>
              <w:jc w:val="center"/>
              <w:rPr>
                <w:rFonts w:hint="eastAsia" w:ascii="仿宋" w:hAnsi="仿宋" w:eastAsia="仿宋"/>
                <w:b/>
                <w:spacing w:val="20"/>
                <w:sz w:val="24"/>
              </w:rPr>
            </w:pPr>
            <w:r>
              <w:rPr>
                <w:rFonts w:hint="eastAsia" w:ascii="仿宋" w:hAnsi="仿宋" w:eastAsia="仿宋"/>
                <w:b/>
                <w:spacing w:val="20"/>
                <w:sz w:val="24"/>
              </w:rPr>
              <w:t>课程</w:t>
            </w:r>
          </w:p>
          <w:p w14:paraId="10885BFF">
            <w:pPr>
              <w:widowControl/>
              <w:jc w:val="center"/>
              <w:rPr>
                <w:rFonts w:hint="eastAsia" w:ascii="仿宋" w:hAnsi="仿宋" w:eastAsia="仿宋"/>
                <w:b/>
                <w:spacing w:val="20"/>
                <w:sz w:val="24"/>
              </w:rPr>
            </w:pPr>
            <w:r>
              <w:rPr>
                <w:rFonts w:hint="eastAsia" w:ascii="仿宋" w:hAnsi="仿宋" w:eastAsia="仿宋"/>
                <w:b/>
                <w:spacing w:val="20"/>
                <w:sz w:val="24"/>
              </w:rPr>
              <w:t>简介</w:t>
            </w:r>
          </w:p>
        </w:tc>
        <w:tc>
          <w:tcPr>
            <w:tcW w:w="8080" w:type="dxa"/>
            <w:gridSpan w:val="7"/>
            <w:tcBorders>
              <w:top w:val="single" w:color="auto" w:sz="4" w:space="0"/>
            </w:tcBorders>
          </w:tcPr>
          <w:p w14:paraId="5A3E0C4B">
            <w:pPr>
              <w:widowControl/>
              <w:rPr>
                <w:rFonts w:hint="eastAsia" w:ascii="仿宋" w:hAnsi="仿宋" w:eastAsia="仿宋"/>
                <w:b/>
                <w:sz w:val="24"/>
              </w:rPr>
            </w:pPr>
            <w:r>
              <w:rPr>
                <w:rFonts w:hint="eastAsia" w:ascii="仿宋" w:hAnsi="仿宋" w:eastAsia="仿宋"/>
                <w:b/>
                <w:sz w:val="24"/>
              </w:rPr>
              <w:t>课程1：测试技术与设备发展</w:t>
            </w:r>
          </w:p>
          <w:p w14:paraId="196A7E1A">
            <w:pPr>
              <w:widowControl/>
              <w:spacing w:line="360" w:lineRule="auto"/>
              <w:rPr>
                <w:rFonts w:hint="eastAsia" w:ascii="仿宋" w:hAnsi="仿宋" w:eastAsia="仿宋"/>
                <w:b/>
                <w:sz w:val="24"/>
              </w:rPr>
            </w:pPr>
            <w:r>
              <w:rPr>
                <w:rFonts w:hint="eastAsia" w:ascii="仿宋" w:hAnsi="仿宋" w:eastAsia="仿宋"/>
                <w:bCs/>
                <w:sz w:val="24"/>
              </w:rPr>
              <w:t>本课程致力于构建从行业宏观视野到微观装备实务的完整知识链。课程紧贴半导体封测产业一线，系统讲授集成电路产业链背景及分选机、探针台、测试机等关键装备的工作原理与架构。内容深度涵盖重力式与平移式分选技术、功率器件及模拟/数字测试系统原理，并重点探讨基于ATE的测试方案开发实务。课程强调产教深度融合，通过理论授课与企业现场见习相结合的模式，将抽象的测试逻辑与真实的工业场景紧密对接。旨在使学生掌握后端测试的核心工艺与设备开发流程，培养具备高精密装备应用意识、能够胜任测试方案设计与设备运维等岗位的复合型工程技术人才。</w:t>
            </w:r>
          </w:p>
        </w:tc>
      </w:tr>
      <w:tr w14:paraId="731BF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jc w:val="center"/>
        </w:trPr>
        <w:tc>
          <w:tcPr>
            <w:tcW w:w="1696" w:type="dxa"/>
            <w:gridSpan w:val="2"/>
            <w:vMerge w:val="continue"/>
            <w:vAlign w:val="center"/>
          </w:tcPr>
          <w:p w14:paraId="7F38F512">
            <w:pPr>
              <w:widowControl/>
              <w:jc w:val="center"/>
              <w:rPr>
                <w:rFonts w:hint="eastAsia" w:ascii="仿宋" w:hAnsi="仿宋" w:eastAsia="仿宋"/>
                <w:bCs/>
                <w:sz w:val="24"/>
              </w:rPr>
            </w:pPr>
          </w:p>
        </w:tc>
        <w:tc>
          <w:tcPr>
            <w:tcW w:w="8080" w:type="dxa"/>
            <w:gridSpan w:val="7"/>
          </w:tcPr>
          <w:p w14:paraId="471EB8D6">
            <w:pPr>
              <w:widowControl/>
              <w:rPr>
                <w:rFonts w:hint="eastAsia" w:ascii="仿宋" w:hAnsi="仿宋" w:eastAsia="仿宋"/>
                <w:b/>
                <w:sz w:val="24"/>
              </w:rPr>
            </w:pPr>
            <w:r>
              <w:rPr>
                <w:rFonts w:hint="eastAsia" w:ascii="仿宋" w:hAnsi="仿宋" w:eastAsia="仿宋"/>
                <w:b/>
                <w:sz w:val="24"/>
              </w:rPr>
              <w:t>课程2：硬件电路设计与PCB制板</w:t>
            </w:r>
          </w:p>
          <w:p w14:paraId="00A5C8FB">
            <w:pPr>
              <w:widowControl/>
              <w:spacing w:line="360" w:lineRule="auto"/>
              <w:rPr>
                <w:rFonts w:hint="eastAsia" w:ascii="仿宋" w:hAnsi="仿宋" w:eastAsia="仿宋"/>
                <w:bCs/>
                <w:sz w:val="24"/>
              </w:rPr>
            </w:pPr>
            <w:r>
              <w:rPr>
                <w:rFonts w:hint="eastAsia" w:ascii="仿宋" w:hAnsi="仿宋" w:eastAsia="仿宋"/>
                <w:bCs/>
                <w:sz w:val="24"/>
              </w:rPr>
              <w:t>本课程面向硬件开发岗位，系统讲授电子系统原理图设计与PCB Layout完整流程。课程以嘉立创EDA或Cadence为工具，涵盖电源电路、信号调理、MCU最小系统、接口保护等模块的原理图设计，以及2-4层PCB的层叠规划、模拟数字分区、电源完整性、高速信号包地等布线规则。通过综合项目，学生将独立完成一块4层功能板卡的设计输出（Gerber/BOM/坐标），具备硬件工程师助理与PCB Layout工程师的核心技能。</w:t>
            </w:r>
          </w:p>
        </w:tc>
      </w:tr>
      <w:tr w14:paraId="181E6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696" w:type="dxa"/>
            <w:gridSpan w:val="2"/>
            <w:vMerge w:val="continue"/>
            <w:vAlign w:val="center"/>
          </w:tcPr>
          <w:p w14:paraId="1258E5FF">
            <w:pPr>
              <w:widowControl/>
              <w:jc w:val="center"/>
              <w:rPr>
                <w:rFonts w:hint="eastAsia" w:ascii="仿宋" w:hAnsi="仿宋" w:eastAsia="仿宋"/>
                <w:bCs/>
                <w:sz w:val="24"/>
              </w:rPr>
            </w:pPr>
          </w:p>
        </w:tc>
        <w:tc>
          <w:tcPr>
            <w:tcW w:w="8080" w:type="dxa"/>
            <w:gridSpan w:val="7"/>
          </w:tcPr>
          <w:p w14:paraId="777C0FB8">
            <w:pPr>
              <w:widowControl/>
              <w:rPr>
                <w:rFonts w:hint="eastAsia" w:ascii="仿宋" w:hAnsi="仿宋" w:eastAsia="仿宋"/>
                <w:b/>
                <w:sz w:val="24"/>
              </w:rPr>
            </w:pPr>
            <w:r>
              <w:rPr>
                <w:rFonts w:hint="eastAsia" w:ascii="仿宋" w:hAnsi="仿宋" w:eastAsia="仿宋"/>
                <w:b/>
                <w:sz w:val="24"/>
              </w:rPr>
              <w:t>课程3：电子装调与硬件调试</w:t>
            </w:r>
          </w:p>
          <w:p w14:paraId="6D740CDD">
            <w:pPr>
              <w:widowControl/>
              <w:spacing w:line="360" w:lineRule="auto"/>
              <w:rPr>
                <w:rFonts w:hint="eastAsia" w:ascii="仿宋" w:hAnsi="仿宋" w:eastAsia="仿宋"/>
                <w:b/>
                <w:sz w:val="24"/>
              </w:rPr>
            </w:pPr>
            <w:r>
              <w:rPr>
                <w:rFonts w:hint="eastAsia" w:ascii="仿宋" w:hAnsi="仿宋" w:eastAsia="仿宋"/>
                <w:bCs/>
                <w:sz w:val="24"/>
              </w:rPr>
              <w:t>本课程面向硬件装调与测试岗位，培养学生从方案评估到硬件调试的完整实现能力。课程讲授芯片与仪器datasheet的关键参数阅读与系统框图设计，系统训练0402/0603贴片元件及QFP封装芯片的手工焊接与回流焊工艺；涵盖上电前的安全检查流程、万用表/示波器的硬件级调试技术，以及程序读数与实测值的对比校准方法。通过大量实操，学生将具备电子装接工与硬件调试工程师的岗位核心技能。</w:t>
            </w:r>
          </w:p>
        </w:tc>
      </w:tr>
      <w:tr w14:paraId="2D1B0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2" w:hRule="atLeast"/>
          <w:jc w:val="center"/>
        </w:trPr>
        <w:tc>
          <w:tcPr>
            <w:tcW w:w="1696" w:type="dxa"/>
            <w:gridSpan w:val="2"/>
            <w:vMerge w:val="continue"/>
            <w:vAlign w:val="center"/>
          </w:tcPr>
          <w:p w14:paraId="60658C29">
            <w:pPr>
              <w:widowControl/>
              <w:jc w:val="center"/>
              <w:rPr>
                <w:rFonts w:hint="eastAsia" w:ascii="仿宋" w:hAnsi="仿宋" w:eastAsia="仿宋"/>
                <w:bCs/>
                <w:sz w:val="24"/>
              </w:rPr>
            </w:pPr>
          </w:p>
        </w:tc>
        <w:tc>
          <w:tcPr>
            <w:tcW w:w="8080" w:type="dxa"/>
            <w:gridSpan w:val="7"/>
          </w:tcPr>
          <w:p w14:paraId="32BEEFF0">
            <w:pPr>
              <w:widowControl/>
              <w:rPr>
                <w:rFonts w:hint="eastAsia" w:ascii="仿宋" w:hAnsi="仿宋" w:eastAsia="仿宋"/>
                <w:b/>
                <w:sz w:val="24"/>
              </w:rPr>
            </w:pPr>
            <w:r>
              <w:rPr>
                <w:rFonts w:hint="eastAsia" w:ascii="仿宋" w:hAnsi="仿宋" w:eastAsia="仿宋"/>
                <w:b/>
                <w:sz w:val="24"/>
              </w:rPr>
              <w:t>课程4：仪器控制与测试系统集成</w:t>
            </w:r>
          </w:p>
          <w:p w14:paraId="6207AB5E">
            <w:pPr>
              <w:widowControl/>
              <w:spacing w:line="360" w:lineRule="auto"/>
              <w:rPr>
                <w:rFonts w:hint="eastAsia" w:ascii="仿宋" w:hAnsi="仿宋" w:eastAsia="仿宋"/>
                <w:bCs/>
                <w:sz w:val="24"/>
              </w:rPr>
            </w:pPr>
            <w:r>
              <w:rPr>
                <w:rFonts w:hint="eastAsia" w:ascii="仿宋" w:hAnsi="仿宋" w:eastAsia="仿宋"/>
                <w:bCs/>
                <w:sz w:val="24"/>
              </w:rPr>
              <w:t>本课程面向自动化测试与系统集成岗位，培养学生编写仪器控制程序与构建测试系统的综合能力。课程讲授VISA架构与SCPI指令集，通过Python进行仪器初始化、配置、触发测量与数据日志的自动化编程；涵盖多仪器同步与简易用户界面设计，以及硬件-软件-仪器的系统集成与联调方法。课程同时讲授系统级误差预算、噪声抑制策略（硬件滤波+软件平均）与GR&amp;R（重复性与再现性）分析，使学生具备自动化测试工程师与测试系统集成工程师的完整岗位能力。</w:t>
            </w:r>
          </w:p>
          <w:p w14:paraId="5B46258A">
            <w:pPr>
              <w:widowControl/>
              <w:rPr>
                <w:rFonts w:hint="eastAsia" w:ascii="仿宋" w:hAnsi="仿宋" w:eastAsia="仿宋"/>
                <w:bCs/>
                <w:sz w:val="24"/>
              </w:rPr>
            </w:pPr>
          </w:p>
        </w:tc>
      </w:tr>
    </w:tbl>
    <w:p w14:paraId="2697CDFA"/>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529D30"/>
    <w:multiLevelType w:val="singleLevel"/>
    <w:tmpl w:val="1B529D30"/>
    <w:lvl w:ilvl="0" w:tentative="0">
      <w:start w:val="5"/>
      <w:numFmt w:val="chineseCounting"/>
      <w:suff w:val="nothing"/>
      <w:lvlText w:val="%1、"/>
      <w:lvlJc w:val="left"/>
      <w:rPr>
        <w:rFonts w:hint="eastAsia"/>
      </w:rPr>
    </w:lvl>
  </w:abstractNum>
  <w:abstractNum w:abstractNumId="1">
    <w:nsid w:val="7644C492"/>
    <w:multiLevelType w:val="singleLevel"/>
    <w:tmpl w:val="7644C492"/>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TrackMove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C18BF"/>
    <w:rsid w:val="004C18BF"/>
    <w:rsid w:val="00510E51"/>
    <w:rsid w:val="00583284"/>
    <w:rsid w:val="005949B6"/>
    <w:rsid w:val="006F0A01"/>
    <w:rsid w:val="007C0415"/>
    <w:rsid w:val="00A51C6B"/>
    <w:rsid w:val="00AF7ECB"/>
    <w:rsid w:val="00B1332B"/>
    <w:rsid w:val="00C92B50"/>
    <w:rsid w:val="00CC506F"/>
    <w:rsid w:val="01FA725A"/>
    <w:rsid w:val="0402799B"/>
    <w:rsid w:val="05D10C92"/>
    <w:rsid w:val="05F36332"/>
    <w:rsid w:val="09176263"/>
    <w:rsid w:val="09D65431"/>
    <w:rsid w:val="103479A4"/>
    <w:rsid w:val="11281344"/>
    <w:rsid w:val="14D507B4"/>
    <w:rsid w:val="14E66DDD"/>
    <w:rsid w:val="16424EEF"/>
    <w:rsid w:val="17964040"/>
    <w:rsid w:val="1A202D48"/>
    <w:rsid w:val="20A25BCD"/>
    <w:rsid w:val="24EB1188"/>
    <w:rsid w:val="250005FC"/>
    <w:rsid w:val="290C5B9E"/>
    <w:rsid w:val="2A5A37DD"/>
    <w:rsid w:val="324A2389"/>
    <w:rsid w:val="34CB7A56"/>
    <w:rsid w:val="367513E4"/>
    <w:rsid w:val="38253449"/>
    <w:rsid w:val="3AAF73C9"/>
    <w:rsid w:val="3BEE695F"/>
    <w:rsid w:val="4BBD76FF"/>
    <w:rsid w:val="4EC05A55"/>
    <w:rsid w:val="520200B4"/>
    <w:rsid w:val="52D148B6"/>
    <w:rsid w:val="56C946ED"/>
    <w:rsid w:val="5C3D2493"/>
    <w:rsid w:val="5E4C248A"/>
    <w:rsid w:val="62DB2A06"/>
    <w:rsid w:val="66BC45F1"/>
    <w:rsid w:val="747848EA"/>
    <w:rsid w:val="77302E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320"/>
        <w:tab w:val="right" w:pos="8640"/>
      </w:tabs>
    </w:pPr>
  </w:style>
  <w:style w:type="paragraph" w:styleId="3">
    <w:name w:val="header"/>
    <w:basedOn w:val="1"/>
    <w:link w:val="9"/>
    <w:uiPriority w:val="0"/>
    <w:pPr>
      <w:tabs>
        <w:tab w:val="center" w:pos="4320"/>
        <w:tab w:val="right" w:pos="8640"/>
      </w:tabs>
    </w:pPr>
  </w:style>
  <w:style w:type="paragraph" w:styleId="4">
    <w:name w:val="Normal (Web)"/>
    <w:basedOn w:val="1"/>
    <w:qFormat/>
    <w:uiPriority w:val="0"/>
    <w:pPr>
      <w:spacing w:before="100" w:beforeAutospacing="1" w:after="100" w:afterAutospacing="1"/>
      <w:jc w:val="left"/>
    </w:pPr>
    <w:rPr>
      <w:kern w:val="0"/>
      <w:sz w:val="24"/>
    </w:rPr>
  </w:style>
  <w:style w:type="character" w:styleId="7">
    <w:name w:val="Strong"/>
    <w:qFormat/>
    <w:uiPriority w:val="0"/>
    <w:rPr>
      <w:b/>
    </w:rPr>
  </w:style>
  <w:style w:type="character" w:styleId="8">
    <w:name w:val="Hyperlink"/>
    <w:qFormat/>
    <w:uiPriority w:val="0"/>
    <w:rPr>
      <w:color w:val="0000FF"/>
      <w:u w:val="single"/>
    </w:rPr>
  </w:style>
  <w:style w:type="character" w:customStyle="1" w:styleId="9">
    <w:name w:val="页眉 字符"/>
    <w:link w:val="3"/>
    <w:qFormat/>
    <w:uiPriority w:val="0"/>
    <w:rPr>
      <w:rFonts w:ascii="Calibri" w:hAnsi="Calibri"/>
      <w:kern w:val="2"/>
      <w:sz w:val="21"/>
      <w:szCs w:val="24"/>
    </w:rPr>
  </w:style>
  <w:style w:type="character" w:customStyle="1" w:styleId="10">
    <w:name w:val="页脚 字符"/>
    <w:link w:val="2"/>
    <w:qFormat/>
    <w:uiPriority w:val="0"/>
    <w:rPr>
      <w:rFonts w:ascii="Calibri" w:hAnsi="Calibri"/>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2448</Words>
  <Characters>2629</Characters>
  <Lines>102</Lines>
  <Paragraphs>96</Paragraphs>
  <TotalTime>8</TotalTime>
  <ScaleCrop>false</ScaleCrop>
  <LinksUpToDate>false</LinksUpToDate>
  <CharactersWithSpaces>2654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2026-06-06T05:32:00Z</dcterms:created>
  <dc:creator>HP</dc:creator>
  <cp:lastModifiedBy>头发乱了</cp:lastModifiedBy>
  <dcterms:modified xsi:type="dcterms:W3CDTF">2026-09-04T02:40:20Z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eyJoZGlkIjoiNDAwYmZjNGE1NWEzMmU1ZTQ0NWRjZDk4YzVkMGI3NzQiLCJ1c2VySWQiOiIyODQyNDUzOTkifQ==</vt:lpwstr>
  </property>
  <property fmtid="{D5CDD505-2E9C-101B-9397-08002B2CF9AE}" pid="4" name="ICV">
    <vt:lpwstr>C3E6D03531834A30ACDCDCA0A1DE70F8_12</vt:lpwstr>
  </property>
</Properties>
</file>