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CB6C9B">
      <w:pPr>
        <w:widowControl/>
        <w:shd w:val="clear" w:color="auto" w:fill="FFFFFF"/>
        <w:spacing w:after="150" w:line="26" w:lineRule="atLeast"/>
        <w:ind w:left="480"/>
        <w:jc w:val="center"/>
        <w:rPr>
          <w:rStyle w:val="7"/>
          <w:rFonts w:hint="eastAsia" w:ascii="宋体" w:hAnsi="宋体" w:cs="宋体"/>
          <w:bCs/>
          <w:kern w:val="0"/>
          <w:sz w:val="28"/>
          <w:szCs w:val="28"/>
          <w:shd w:val="clear" w:color="auto" w:fill="FFFFFF"/>
          <w:lang w:bidi="ar"/>
        </w:rPr>
      </w:pPr>
      <w:r>
        <w:rPr>
          <w:rStyle w:val="7"/>
          <w:rFonts w:hint="eastAsia" w:ascii="宋体" w:hAnsi="宋体" w:cs="宋体"/>
          <w:bCs/>
          <w:kern w:val="0"/>
          <w:sz w:val="28"/>
          <w:szCs w:val="28"/>
          <w:shd w:val="clear" w:color="auto" w:fill="FFFFFF"/>
          <w:lang w:bidi="ar"/>
        </w:rPr>
        <w:t>2026“微世半导体”集成电路封装与热管理微专业招生简章</w:t>
      </w:r>
    </w:p>
    <w:p w14:paraId="70124B0D">
      <w:pPr>
        <w:widowControl/>
        <w:numPr>
          <w:ilvl w:val="0"/>
          <w:numId w:val="1"/>
        </w:numPr>
        <w:shd w:val="clear" w:color="auto" w:fill="FFFFFF"/>
        <w:spacing w:after="150" w:line="26" w:lineRule="atLeast"/>
        <w:ind w:firstLine="480"/>
        <w:jc w:val="left"/>
        <w:rPr>
          <w:rStyle w:val="7"/>
          <w:rFonts w:hint="eastAsia" w:ascii="微软雅黑" w:hAnsi="微软雅黑" w:eastAsia="微软雅黑" w:cs="微软雅黑"/>
          <w:bCs/>
          <w:kern w:val="0"/>
          <w:sz w:val="28"/>
          <w:szCs w:val="28"/>
          <w:shd w:val="clear" w:color="auto" w:fill="FFFFFF"/>
          <w:lang w:bidi="ar"/>
        </w:rPr>
      </w:pPr>
      <w:r>
        <w:rPr>
          <w:rStyle w:val="7"/>
          <w:rFonts w:hint="eastAsia" w:ascii="微软雅黑" w:hAnsi="微软雅黑" w:eastAsia="微软雅黑" w:cs="微软雅黑"/>
          <w:bCs/>
          <w:kern w:val="0"/>
          <w:sz w:val="28"/>
          <w:szCs w:val="28"/>
          <w:shd w:val="clear" w:color="auto" w:fill="FFFFFF"/>
          <w:lang w:bidi="ar"/>
        </w:rPr>
        <w:t xml:space="preserve"> 微专业简介 </w:t>
      </w:r>
    </w:p>
    <w:p w14:paraId="08D61C46">
      <w:pPr>
        <w:widowControl/>
        <w:shd w:val="clear" w:color="auto" w:fill="FFFFFF"/>
        <w:spacing w:after="150" w:line="26" w:lineRule="atLeast"/>
        <w:ind w:firstLine="480"/>
        <w:rPr>
          <w:rStyle w:val="7"/>
          <w:rFonts w:hint="eastAsia" w:ascii="微软雅黑" w:hAnsi="微软雅黑" w:eastAsia="微软雅黑" w:cs="微软雅黑"/>
          <w:bCs/>
          <w:color w:val="FF0000"/>
          <w:kern w:val="0"/>
          <w:sz w:val="24"/>
          <w:shd w:val="clear" w:color="auto" w:fill="FFFFFF"/>
          <w:lang w:bidi="ar"/>
        </w:rPr>
      </w:pPr>
      <w:r>
        <w:rPr>
          <w:rFonts w:hint="eastAsia" w:ascii="仿宋_GB2312" w:eastAsia="仿宋_GB2312"/>
          <w:bCs/>
          <w:sz w:val="28"/>
          <w:szCs w:val="28"/>
        </w:rPr>
        <w:t>“微世半导体”集成电路封装与热管理微专业紧密契合国家重大需求和科技发展趋势，提供6门“小而精”的交叉学科课程，分别为集成电路导论、集成电路装备概论、电子封装材料与工艺、电子器件散热技术、集成电路热设计与仿真，共10学分，修读年限为1年。本微专业旨在培养学生在集成电路方向的基础理论知识及封装、热管理领域的实践能力，使其能够深入了解集成电路封装和热管理等领域，为未来学生在集成电路相关领域就业或深造打下坚实的基础。</w:t>
      </w:r>
    </w:p>
    <w:p w14:paraId="1907684C">
      <w:pPr>
        <w:widowControl/>
        <w:shd w:val="clear" w:color="auto" w:fill="FFFFFF"/>
        <w:spacing w:after="150" w:line="26" w:lineRule="atLeast"/>
        <w:ind w:firstLine="480"/>
        <w:jc w:val="left"/>
        <w:rPr>
          <w:rStyle w:val="7"/>
          <w:rFonts w:hint="eastAsia" w:ascii="微软雅黑" w:hAnsi="微软雅黑" w:eastAsia="微软雅黑" w:cs="微软雅黑"/>
          <w:bCs/>
          <w:color w:val="333333"/>
          <w:kern w:val="0"/>
          <w:sz w:val="28"/>
          <w:szCs w:val="28"/>
          <w:shd w:val="clear" w:color="auto" w:fill="FFFFFF"/>
          <w:lang w:bidi="ar"/>
        </w:rPr>
      </w:pPr>
      <w:r>
        <w:rPr>
          <w:rStyle w:val="7"/>
          <w:rFonts w:hint="eastAsia" w:ascii="微软雅黑" w:hAnsi="微软雅黑" w:eastAsia="微软雅黑" w:cs="微软雅黑"/>
          <w:bCs/>
          <w:color w:val="333333"/>
          <w:kern w:val="0"/>
          <w:sz w:val="28"/>
          <w:szCs w:val="28"/>
          <w:shd w:val="clear" w:color="auto" w:fill="FFFFFF"/>
          <w:lang w:bidi="ar"/>
        </w:rPr>
        <w:t>二、 培养目标</w:t>
      </w:r>
    </w:p>
    <w:p w14:paraId="4C38EE4C">
      <w:pPr>
        <w:widowControl/>
        <w:shd w:val="clear" w:color="auto" w:fill="FFFFFF"/>
        <w:spacing w:after="150" w:line="26" w:lineRule="atLeast"/>
        <w:ind w:firstLine="480"/>
        <w:jc w:val="left"/>
        <w:rPr>
          <w:rStyle w:val="7"/>
          <w:rFonts w:hint="eastAsia" w:ascii="微软雅黑" w:hAnsi="微软雅黑" w:eastAsia="微软雅黑" w:cs="微软雅黑"/>
          <w:bCs/>
          <w:color w:val="333333"/>
          <w:kern w:val="0"/>
          <w:sz w:val="24"/>
          <w:shd w:val="clear" w:color="auto" w:fill="FFFFFF"/>
          <w:lang w:bidi="ar"/>
        </w:rPr>
      </w:pPr>
      <w:r>
        <w:rPr>
          <w:rFonts w:hint="eastAsia" w:ascii="仿宋_GB2312" w:eastAsia="仿宋_GB2312"/>
          <w:bCs/>
          <w:sz w:val="28"/>
          <w:szCs w:val="28"/>
        </w:rPr>
        <w:t>本微专业以国家和地方集成电路行业的发展需求为核心，以立德树人为根本，以教育部颁布实施的专业国家质量标准为指导，通过将专业基础与行业应用相结合来培养学生的能力。旨在使学生掌握集成电路知识和基本技能，并具备实践能力、创新意识、国际视野和团队合作精神。培养学生成为集成电路热管理工程相关领域的工程技术人才。</w:t>
      </w:r>
    </w:p>
    <w:p w14:paraId="3F1AA669">
      <w:pPr>
        <w:widowControl/>
        <w:shd w:val="clear" w:color="auto" w:fill="FFFFFF"/>
        <w:spacing w:after="150" w:line="26" w:lineRule="atLeast"/>
        <w:ind w:left="480"/>
        <w:jc w:val="left"/>
        <w:rPr>
          <w:rStyle w:val="7"/>
          <w:rFonts w:hint="eastAsia" w:ascii="微软雅黑" w:hAnsi="微软雅黑" w:eastAsia="微软雅黑" w:cs="微软雅黑"/>
          <w:bCs/>
          <w:kern w:val="0"/>
          <w:sz w:val="28"/>
          <w:szCs w:val="28"/>
          <w:shd w:val="clear" w:color="auto" w:fill="FFFFFF"/>
          <w:lang w:bidi="ar"/>
        </w:rPr>
      </w:pPr>
      <w:r>
        <w:rPr>
          <w:rStyle w:val="7"/>
          <w:rFonts w:hint="eastAsia" w:ascii="微软雅黑" w:hAnsi="微软雅黑" w:eastAsia="微软雅黑" w:cs="微软雅黑"/>
          <w:bCs/>
          <w:kern w:val="0"/>
          <w:sz w:val="28"/>
          <w:szCs w:val="28"/>
          <w:shd w:val="clear" w:color="auto" w:fill="FFFFFF"/>
          <w:lang w:bidi="ar"/>
        </w:rPr>
        <w:t>三、 培养要求</w:t>
      </w:r>
    </w:p>
    <w:p w14:paraId="7C6EEAF3">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为达成培养目标，集成电路热管理微专业对学生提出培养要求如下：</w:t>
      </w:r>
    </w:p>
    <w:p w14:paraId="46386031">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知识层面：学生需掌握集成电路方向的基础理论知识，包括半导体物理与器件、芯片封装与热管理等。熟悉集成电路制造工艺和封装技术，了解集成电路的生产流程和质量控制。</w:t>
      </w:r>
    </w:p>
    <w:p w14:paraId="7BCF11A3">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能力层面：学生需拥有出色的问题解决与创新思维能力，能够灵活运用所学知识，对实际问题展开分析并予以解决。与此同时，还需具备实验设计与数据分析的能力，能够自主开展相关实验研究及数据处理。</w:t>
      </w:r>
    </w:p>
    <w:p w14:paraId="51E49240">
      <w:pPr>
        <w:adjustRightInd w:val="0"/>
        <w:snapToGrid w:val="0"/>
        <w:spacing w:line="360" w:lineRule="auto"/>
        <w:ind w:firstLine="560" w:firstLineChars="200"/>
        <w:rPr>
          <w:rStyle w:val="7"/>
          <w:rFonts w:hint="eastAsia" w:ascii="微软雅黑" w:hAnsi="微软雅黑" w:eastAsia="微软雅黑" w:cs="微软雅黑"/>
          <w:bCs/>
          <w:color w:val="FF0000"/>
          <w:kern w:val="0"/>
          <w:sz w:val="24"/>
          <w:shd w:val="clear" w:color="auto" w:fill="FFFFFF"/>
          <w:lang w:bidi="ar"/>
        </w:rPr>
      </w:pPr>
      <w:r>
        <w:rPr>
          <w:rFonts w:hint="eastAsia" w:ascii="仿宋_GB2312" w:eastAsia="仿宋_GB2312"/>
          <w:bCs/>
          <w:sz w:val="28"/>
          <w:szCs w:val="28"/>
        </w:rPr>
        <w:t>素质层面：学生需要具备良好的团队合作精神和沟通协调能力，能够与不同学科的专业人士合作，共同完成项目和解决问题。此外，还需要具备较强的责任心和职业道德，能够遵守相关的法律法规和行业规范，为集成电路的发展做出贡献。</w:t>
      </w:r>
    </w:p>
    <w:p w14:paraId="48CB7ACA">
      <w:pPr>
        <w:widowControl/>
        <w:shd w:val="clear" w:color="auto" w:fill="FFFFFF"/>
        <w:spacing w:after="150" w:line="26" w:lineRule="atLeast"/>
        <w:ind w:firstLine="480"/>
        <w:jc w:val="left"/>
        <w:rPr>
          <w:rFonts w:hint="eastAsia" w:ascii="微软雅黑" w:hAnsi="微软雅黑" w:eastAsia="微软雅黑" w:cs="微软雅黑"/>
          <w:color w:val="333333"/>
          <w:sz w:val="28"/>
          <w:szCs w:val="28"/>
        </w:rPr>
      </w:pPr>
      <w:r>
        <w:rPr>
          <w:rStyle w:val="7"/>
          <w:rFonts w:hint="eastAsia" w:ascii="微软雅黑" w:hAnsi="微软雅黑" w:eastAsia="微软雅黑" w:cs="微软雅黑"/>
          <w:bCs/>
          <w:color w:val="333333"/>
          <w:kern w:val="0"/>
          <w:sz w:val="28"/>
          <w:szCs w:val="28"/>
          <w:shd w:val="clear" w:color="auto" w:fill="FFFFFF"/>
          <w:lang w:bidi="ar"/>
        </w:rPr>
        <w:t>四、 招生对象及条件</w:t>
      </w:r>
    </w:p>
    <w:p w14:paraId="4132738B">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招生对象：要求为本校或外校本科2024和2025级（优先2024级）的学生，（尤其是工程、电子、计算机等相关专业），具备一定的科学探究能力和动手实践能力。对集成电路、电子工程及相关领域表现出浓厚的兴趣，并具备相应的学习动机和目标。</w:t>
      </w:r>
    </w:p>
    <w:p w14:paraId="4787855F">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招生要求：主修专业已经修读的课程平均学分绩点在2.0（含）以上，补考或重修后无不及格课程。</w:t>
      </w:r>
    </w:p>
    <w:p w14:paraId="35145A3D">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（1）成绩优异，具有良好的数学、物理基础。</w:t>
      </w:r>
    </w:p>
    <w:p w14:paraId="68D6AFFF">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（2）具备团队合作精神，能够积极参与项目实践。</w:t>
      </w:r>
    </w:p>
    <w:p w14:paraId="0F2AC1AD">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（3）有志于在集成电路领域继续深造或在相关行业就业。</w:t>
      </w:r>
    </w:p>
    <w:p w14:paraId="7654BCDF">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招生人数：30-40人</w:t>
      </w:r>
    </w:p>
    <w:p w14:paraId="2BDEAB9A">
      <w:pPr>
        <w:widowControl/>
        <w:numPr>
          <w:ilvl w:val="0"/>
          <w:numId w:val="2"/>
        </w:numPr>
        <w:shd w:val="clear" w:color="auto" w:fill="FFFFFF"/>
        <w:spacing w:after="150" w:line="26" w:lineRule="atLeast"/>
        <w:ind w:firstLine="480"/>
        <w:jc w:val="left"/>
        <w:rPr>
          <w:rStyle w:val="7"/>
          <w:rFonts w:hint="eastAsia" w:ascii="微软雅黑" w:hAnsi="微软雅黑" w:eastAsia="微软雅黑" w:cs="微软雅黑"/>
          <w:bCs/>
          <w:color w:val="333333"/>
          <w:kern w:val="0"/>
          <w:sz w:val="28"/>
          <w:szCs w:val="28"/>
          <w:shd w:val="clear" w:color="auto" w:fill="FFFFFF"/>
          <w:lang w:bidi="ar"/>
        </w:rPr>
      </w:pPr>
      <w:r>
        <w:rPr>
          <w:rStyle w:val="7"/>
          <w:rFonts w:hint="eastAsia" w:ascii="微软雅黑" w:hAnsi="微软雅黑" w:eastAsia="微软雅黑" w:cs="微软雅黑"/>
          <w:bCs/>
          <w:color w:val="333333"/>
          <w:kern w:val="0"/>
          <w:sz w:val="28"/>
          <w:szCs w:val="28"/>
          <w:shd w:val="clear" w:color="auto" w:fill="FFFFFF"/>
          <w:lang w:bidi="ar"/>
        </w:rPr>
        <w:t> 学制及证书授予</w:t>
      </w:r>
    </w:p>
    <w:p w14:paraId="1869FEB3">
      <w:pPr>
        <w:adjustRightInd w:val="0"/>
        <w:snapToGrid w:val="0"/>
        <w:spacing w:line="360" w:lineRule="auto"/>
        <w:ind w:firstLine="560" w:firstLineChars="200"/>
        <w:rPr>
          <w:rFonts w:ascii="仿宋_GB2312" w:eastAsia="仿宋_GB2312"/>
          <w:sz w:val="28"/>
          <w:szCs w:val="28"/>
        </w:rPr>
      </w:pPr>
      <w:r>
        <w:rPr>
          <w:rFonts w:hint="eastAsia" w:ascii="仿宋_GB2312" w:eastAsia="仿宋_GB2312"/>
          <w:sz w:val="28"/>
          <w:szCs w:val="28"/>
        </w:rPr>
        <w:t>“微世半导体”集成电路封装与热管理微专业修读年限为1年，成绩单独管理，不计入主修专业成绩单。学生在毕业前，修满本培养方案规定的10学分，由上海第二工业大学和上海微世半导体有限公司联合颁发“微世半导体”集成电路封装与热管理证书。</w:t>
      </w:r>
      <w:r>
        <w:rPr>
          <w:rFonts w:hint="eastAsia" w:ascii="仿宋_GB2312" w:eastAsia="仿宋_GB2312"/>
          <w:b/>
          <w:bCs/>
          <w:sz w:val="28"/>
          <w:szCs w:val="28"/>
        </w:rPr>
        <w:t>微世半导体为课程成绩优秀的学员（本微专业成绩前10名）提供大三暑假或大四实习机会。</w:t>
      </w:r>
    </w:p>
    <w:p w14:paraId="355CE501">
      <w:pPr>
        <w:widowControl/>
        <w:shd w:val="clear" w:color="auto" w:fill="FFFFFF"/>
        <w:spacing w:after="150" w:line="26" w:lineRule="atLeast"/>
        <w:ind w:firstLine="480"/>
        <w:jc w:val="left"/>
        <w:rPr>
          <w:rFonts w:hint="eastAsia" w:ascii="微软雅黑" w:hAnsi="微软雅黑" w:eastAsia="微软雅黑" w:cs="微软雅黑"/>
          <w:color w:val="333333"/>
          <w:sz w:val="28"/>
          <w:szCs w:val="28"/>
        </w:rPr>
      </w:pPr>
      <w:r>
        <w:rPr>
          <w:rStyle w:val="7"/>
          <w:rFonts w:hint="eastAsia" w:ascii="微软雅黑" w:hAnsi="微软雅黑" w:eastAsia="微软雅黑" w:cs="微软雅黑"/>
          <w:bCs/>
          <w:color w:val="333333"/>
          <w:kern w:val="0"/>
          <w:sz w:val="28"/>
          <w:szCs w:val="28"/>
          <w:shd w:val="clear" w:color="auto" w:fill="FFFFFF"/>
          <w:lang w:bidi="ar"/>
        </w:rPr>
        <w:t>六、 学费</w:t>
      </w:r>
    </w:p>
    <w:p w14:paraId="47CA383F">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根据学院讨论决定，“微世半导体”集成电路封装与热管理微专业不收取学费。</w:t>
      </w:r>
    </w:p>
    <w:p w14:paraId="33DC9D68">
      <w:pPr>
        <w:widowControl/>
        <w:shd w:val="clear" w:color="auto" w:fill="FFFFFF"/>
        <w:spacing w:after="150" w:line="26" w:lineRule="atLeast"/>
        <w:ind w:firstLine="480"/>
        <w:jc w:val="left"/>
        <w:rPr>
          <w:rFonts w:hint="eastAsia" w:ascii="微软雅黑" w:hAnsi="微软雅黑" w:eastAsia="微软雅黑" w:cs="微软雅黑"/>
          <w:color w:val="333333"/>
          <w:sz w:val="28"/>
          <w:szCs w:val="28"/>
        </w:rPr>
      </w:pPr>
      <w:r>
        <w:rPr>
          <w:rStyle w:val="7"/>
          <w:rFonts w:hint="eastAsia" w:ascii="微软雅黑" w:hAnsi="微软雅黑" w:eastAsia="微软雅黑" w:cs="微软雅黑"/>
          <w:bCs/>
          <w:color w:val="333333"/>
          <w:kern w:val="0"/>
          <w:sz w:val="28"/>
          <w:szCs w:val="28"/>
          <w:shd w:val="clear" w:color="auto" w:fill="FFFFFF"/>
          <w:lang w:bidi="ar"/>
        </w:rPr>
        <w:t>七、 报名及咨询</w:t>
      </w:r>
    </w:p>
    <w:p w14:paraId="318F746D">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报名网址：填表报名https://v.wjx.cn/vm/Q03Cx1K.aspx# ，学院审核后，择优确定微专业录取名单，报教务处备案并发布录取信息。</w:t>
      </w:r>
    </w:p>
    <w:p w14:paraId="677244AC">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联系人：陆老师、韩老师</w:t>
      </w:r>
    </w:p>
    <w:p w14:paraId="25C17AD7">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咨询邮箱：</w:t>
      </w:r>
      <w:r>
        <w:fldChar w:fldCharType="begin"/>
      </w:r>
      <w:r>
        <w:instrText xml:space="preserve"> HYPERLINK "mailto:fflu@sspu.edu.cn," </w:instrText>
      </w:r>
      <w:r>
        <w:fldChar w:fldCharType="separate"/>
      </w:r>
      <w:r>
        <w:rPr>
          <w:rFonts w:hint="eastAsia" w:ascii="仿宋_GB2312" w:eastAsia="仿宋_GB2312"/>
          <w:bCs/>
          <w:sz w:val="28"/>
          <w:szCs w:val="28"/>
        </w:rPr>
        <w:t>fflu@sspu.edu.cn,</w:t>
      </w:r>
      <w:r>
        <w:rPr>
          <w:rFonts w:hint="eastAsia" w:ascii="仿宋_GB2312" w:eastAsia="仿宋_GB2312"/>
          <w:bCs/>
          <w:sz w:val="28"/>
          <w:szCs w:val="28"/>
        </w:rPr>
        <w:fldChar w:fldCharType="end"/>
      </w:r>
      <w:r>
        <w:rPr>
          <w:rFonts w:hint="eastAsia" w:ascii="仿宋_GB2312" w:eastAsia="仿宋_GB2312"/>
          <w:bCs/>
          <w:sz w:val="28"/>
          <w:szCs w:val="28"/>
        </w:rPr>
        <w:t xml:space="preserve"> hanmeng@sspu.edu.cn（请在邮件标题注明“微专业咨询”）</w:t>
      </w:r>
    </w:p>
    <w:p w14:paraId="0A92435B">
      <w:pPr>
        <w:widowControl/>
        <w:shd w:val="clear" w:color="auto" w:fill="FFFFFF"/>
        <w:spacing w:after="150" w:line="26" w:lineRule="atLeast"/>
        <w:ind w:firstLine="480"/>
        <w:jc w:val="left"/>
        <w:rPr>
          <w:rFonts w:hint="eastAsia" w:ascii="微软雅黑" w:hAnsi="微软雅黑" w:eastAsia="微软雅黑" w:cs="微软雅黑"/>
          <w:color w:val="333333"/>
          <w:sz w:val="28"/>
          <w:szCs w:val="28"/>
        </w:rPr>
      </w:pPr>
      <w:r>
        <w:rPr>
          <w:rStyle w:val="7"/>
          <w:rFonts w:hint="eastAsia" w:ascii="微软雅黑" w:hAnsi="微软雅黑" w:eastAsia="微软雅黑" w:cs="微软雅黑"/>
          <w:bCs/>
          <w:color w:val="333333"/>
          <w:kern w:val="0"/>
          <w:sz w:val="28"/>
          <w:szCs w:val="28"/>
          <w:shd w:val="clear" w:color="auto" w:fill="FFFFFF"/>
          <w:lang w:bidi="ar"/>
        </w:rPr>
        <w:t>八、 教学计划与课程简介</w:t>
      </w:r>
    </w:p>
    <w:p w14:paraId="282EA4D8">
      <w:pPr>
        <w:adjustRightInd w:val="0"/>
        <w:snapToGrid w:val="0"/>
        <w:spacing w:line="360" w:lineRule="auto"/>
        <w:ind w:left="480"/>
        <w:jc w:val="center"/>
        <w:outlineLvl w:val="0"/>
        <w:rPr>
          <w:rFonts w:ascii="黑体" w:eastAsia="黑体"/>
          <w:b/>
          <w:sz w:val="24"/>
        </w:rPr>
      </w:pPr>
      <w:r>
        <w:rPr>
          <w:rFonts w:hint="eastAsia" w:ascii="黑体" w:eastAsia="黑体"/>
          <w:b/>
          <w:sz w:val="24"/>
        </w:rPr>
        <w:t>微专业课程设置及教学进程计划表</w:t>
      </w:r>
    </w:p>
    <w:tbl>
      <w:tblPr>
        <w:tblStyle w:val="5"/>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129"/>
        <w:gridCol w:w="1418"/>
        <w:gridCol w:w="992"/>
        <w:gridCol w:w="992"/>
        <w:gridCol w:w="851"/>
        <w:gridCol w:w="992"/>
        <w:gridCol w:w="1514"/>
        <w:gridCol w:w="1321"/>
      </w:tblGrid>
      <w:tr w14:paraId="3FB76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Merge w:val="restart"/>
            <w:vAlign w:val="center"/>
          </w:tcPr>
          <w:p w14:paraId="2076C172">
            <w:pPr>
              <w:jc w:val="center"/>
              <w:rPr>
                <w:rFonts w:hint="eastAsia" w:ascii="仿宋" w:hAnsi="仿宋" w:eastAsia="仿宋"/>
                <w:bCs/>
                <w:sz w:val="24"/>
              </w:rPr>
            </w:pPr>
            <w:r>
              <w:rPr>
                <w:rFonts w:hint="eastAsia" w:ascii="仿宋" w:hAnsi="仿宋" w:eastAsia="仿宋"/>
                <w:bCs/>
                <w:sz w:val="24"/>
              </w:rPr>
              <w:t>序号</w:t>
            </w:r>
          </w:p>
        </w:tc>
        <w:tc>
          <w:tcPr>
            <w:tcW w:w="2547" w:type="dxa"/>
            <w:gridSpan w:val="2"/>
            <w:vMerge w:val="restart"/>
            <w:vAlign w:val="center"/>
          </w:tcPr>
          <w:p w14:paraId="06E7F721">
            <w:pPr>
              <w:widowControl/>
              <w:jc w:val="center"/>
              <w:rPr>
                <w:rFonts w:hint="eastAsia" w:ascii="仿宋" w:hAnsi="仿宋" w:eastAsia="仿宋"/>
                <w:bCs/>
                <w:spacing w:val="20"/>
                <w:sz w:val="24"/>
              </w:rPr>
            </w:pPr>
            <w:r>
              <w:rPr>
                <w:rFonts w:hint="eastAsia" w:ascii="仿宋" w:hAnsi="仿宋" w:eastAsia="仿宋"/>
                <w:bCs/>
                <w:sz w:val="24"/>
              </w:rPr>
              <w:t>课程名称</w:t>
            </w:r>
          </w:p>
        </w:tc>
        <w:tc>
          <w:tcPr>
            <w:tcW w:w="992" w:type="dxa"/>
            <w:vMerge w:val="restart"/>
            <w:vAlign w:val="center"/>
          </w:tcPr>
          <w:p w14:paraId="0C004FC2">
            <w:pPr>
              <w:widowControl/>
              <w:jc w:val="center"/>
              <w:rPr>
                <w:rFonts w:hint="eastAsia" w:ascii="仿宋" w:hAnsi="仿宋" w:eastAsia="仿宋"/>
                <w:bCs/>
                <w:spacing w:val="20"/>
                <w:sz w:val="24"/>
              </w:rPr>
            </w:pPr>
            <w:r>
              <w:rPr>
                <w:rFonts w:hint="eastAsia" w:ascii="仿宋" w:hAnsi="仿宋" w:eastAsia="仿宋"/>
                <w:bCs/>
                <w:sz w:val="24"/>
              </w:rPr>
              <w:t>学分</w:t>
            </w:r>
          </w:p>
        </w:tc>
        <w:tc>
          <w:tcPr>
            <w:tcW w:w="2835" w:type="dxa"/>
            <w:gridSpan w:val="3"/>
          </w:tcPr>
          <w:p w14:paraId="030083BF">
            <w:pPr>
              <w:widowControl/>
              <w:jc w:val="center"/>
              <w:rPr>
                <w:rFonts w:hint="eastAsia" w:ascii="仿宋" w:hAnsi="仿宋" w:eastAsia="仿宋"/>
                <w:bCs/>
                <w:spacing w:val="20"/>
                <w:sz w:val="24"/>
              </w:rPr>
            </w:pPr>
            <w:r>
              <w:rPr>
                <w:rFonts w:hint="eastAsia" w:ascii="仿宋" w:hAnsi="仿宋" w:eastAsia="仿宋"/>
                <w:bCs/>
                <w:spacing w:val="30"/>
                <w:kern w:val="0"/>
                <w:sz w:val="24"/>
                <w:fitText w:val="840" w:id="1683508506"/>
              </w:rPr>
              <w:t>学时</w:t>
            </w:r>
            <w:r>
              <w:rPr>
                <w:rFonts w:hint="eastAsia" w:ascii="仿宋" w:hAnsi="仿宋" w:eastAsia="仿宋"/>
                <w:bCs/>
                <w:spacing w:val="0"/>
                <w:kern w:val="0"/>
                <w:sz w:val="24"/>
                <w:fitText w:val="840" w:id="1683508506"/>
              </w:rPr>
              <w:t>数</w:t>
            </w:r>
          </w:p>
        </w:tc>
        <w:tc>
          <w:tcPr>
            <w:tcW w:w="1514" w:type="dxa"/>
            <w:vMerge w:val="restart"/>
            <w:vAlign w:val="center"/>
          </w:tcPr>
          <w:p w14:paraId="45CAE7B1">
            <w:pPr>
              <w:widowControl/>
              <w:jc w:val="center"/>
              <w:rPr>
                <w:rFonts w:hint="eastAsia" w:ascii="仿宋" w:hAnsi="仿宋" w:eastAsia="仿宋"/>
                <w:bCs/>
                <w:spacing w:val="20"/>
                <w:sz w:val="24"/>
              </w:rPr>
            </w:pPr>
            <w:r>
              <w:rPr>
                <w:rFonts w:hint="eastAsia" w:ascii="仿宋" w:hAnsi="仿宋" w:eastAsia="仿宋"/>
                <w:bCs/>
                <w:spacing w:val="20"/>
                <w:sz w:val="24"/>
              </w:rPr>
              <w:t>授课方式（混合、线下）</w:t>
            </w:r>
          </w:p>
        </w:tc>
        <w:tc>
          <w:tcPr>
            <w:tcW w:w="1321" w:type="dxa"/>
            <w:vMerge w:val="restart"/>
            <w:vAlign w:val="center"/>
          </w:tcPr>
          <w:p w14:paraId="142738B6">
            <w:pPr>
              <w:widowControl/>
              <w:jc w:val="center"/>
              <w:rPr>
                <w:rFonts w:hint="eastAsia" w:ascii="仿宋" w:hAnsi="仿宋" w:eastAsia="仿宋"/>
                <w:bCs/>
                <w:spacing w:val="20"/>
                <w:sz w:val="24"/>
              </w:rPr>
            </w:pPr>
            <w:r>
              <w:rPr>
                <w:rFonts w:hint="eastAsia" w:ascii="仿宋" w:hAnsi="仿宋" w:eastAsia="仿宋"/>
                <w:bCs/>
                <w:spacing w:val="20"/>
                <w:sz w:val="24"/>
              </w:rPr>
              <w:t>开课学期</w:t>
            </w:r>
          </w:p>
        </w:tc>
      </w:tr>
      <w:tr w14:paraId="25944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Merge w:val="continue"/>
          </w:tcPr>
          <w:p w14:paraId="7ACCD754">
            <w:pPr>
              <w:widowControl/>
              <w:jc w:val="center"/>
              <w:rPr>
                <w:rFonts w:hint="eastAsia" w:ascii="仿宋" w:hAnsi="仿宋" w:eastAsia="仿宋"/>
                <w:b/>
                <w:spacing w:val="20"/>
                <w:sz w:val="24"/>
              </w:rPr>
            </w:pPr>
          </w:p>
        </w:tc>
        <w:tc>
          <w:tcPr>
            <w:tcW w:w="2547" w:type="dxa"/>
            <w:gridSpan w:val="2"/>
            <w:vMerge w:val="continue"/>
            <w:vAlign w:val="center"/>
          </w:tcPr>
          <w:p w14:paraId="1F6DBDDC">
            <w:pPr>
              <w:widowControl/>
              <w:jc w:val="center"/>
              <w:rPr>
                <w:rFonts w:hint="eastAsia" w:ascii="仿宋" w:hAnsi="仿宋" w:eastAsia="仿宋"/>
                <w:b/>
                <w:spacing w:val="20"/>
                <w:sz w:val="24"/>
              </w:rPr>
            </w:pPr>
          </w:p>
        </w:tc>
        <w:tc>
          <w:tcPr>
            <w:tcW w:w="992" w:type="dxa"/>
            <w:vMerge w:val="continue"/>
            <w:vAlign w:val="center"/>
          </w:tcPr>
          <w:p w14:paraId="50195CA4">
            <w:pPr>
              <w:widowControl/>
              <w:jc w:val="center"/>
              <w:rPr>
                <w:rFonts w:hint="eastAsia" w:ascii="仿宋" w:hAnsi="仿宋" w:eastAsia="仿宋"/>
                <w:b/>
                <w:spacing w:val="20"/>
                <w:sz w:val="24"/>
              </w:rPr>
            </w:pPr>
          </w:p>
        </w:tc>
        <w:tc>
          <w:tcPr>
            <w:tcW w:w="992" w:type="dxa"/>
            <w:vAlign w:val="center"/>
          </w:tcPr>
          <w:p w14:paraId="7803D07F">
            <w:pPr>
              <w:widowControl/>
              <w:jc w:val="center"/>
              <w:rPr>
                <w:rFonts w:hint="eastAsia" w:ascii="仿宋" w:hAnsi="仿宋" w:eastAsia="仿宋"/>
                <w:bCs/>
                <w:spacing w:val="20"/>
                <w:sz w:val="24"/>
              </w:rPr>
            </w:pPr>
            <w:r>
              <w:rPr>
                <w:rFonts w:hint="eastAsia" w:ascii="仿宋" w:hAnsi="仿宋" w:eastAsia="仿宋"/>
                <w:bCs/>
                <w:sz w:val="24"/>
              </w:rPr>
              <w:t>总学时</w:t>
            </w:r>
          </w:p>
        </w:tc>
        <w:tc>
          <w:tcPr>
            <w:tcW w:w="851" w:type="dxa"/>
            <w:vAlign w:val="center"/>
          </w:tcPr>
          <w:p w14:paraId="45629EEF">
            <w:pPr>
              <w:widowControl/>
              <w:jc w:val="center"/>
              <w:rPr>
                <w:rFonts w:hint="eastAsia" w:ascii="仿宋" w:hAnsi="仿宋" w:eastAsia="仿宋"/>
                <w:bCs/>
                <w:sz w:val="24"/>
              </w:rPr>
            </w:pPr>
            <w:r>
              <w:rPr>
                <w:rFonts w:hint="eastAsia" w:ascii="仿宋" w:hAnsi="仿宋" w:eastAsia="仿宋"/>
                <w:bCs/>
                <w:sz w:val="24"/>
              </w:rPr>
              <w:t>理论</w:t>
            </w:r>
          </w:p>
          <w:p w14:paraId="737807F8">
            <w:pPr>
              <w:widowControl/>
              <w:jc w:val="center"/>
              <w:rPr>
                <w:rFonts w:hint="eastAsia" w:ascii="仿宋" w:hAnsi="仿宋" w:eastAsia="仿宋"/>
                <w:bCs/>
                <w:spacing w:val="20"/>
                <w:sz w:val="24"/>
              </w:rPr>
            </w:pPr>
            <w:r>
              <w:rPr>
                <w:rFonts w:hint="eastAsia" w:ascii="仿宋" w:hAnsi="仿宋" w:eastAsia="仿宋"/>
                <w:bCs/>
                <w:sz w:val="24"/>
              </w:rPr>
              <w:t>学时</w:t>
            </w:r>
          </w:p>
        </w:tc>
        <w:tc>
          <w:tcPr>
            <w:tcW w:w="992" w:type="dxa"/>
            <w:vAlign w:val="center"/>
          </w:tcPr>
          <w:p w14:paraId="5ED6AA6E">
            <w:pPr>
              <w:widowControl/>
              <w:jc w:val="center"/>
              <w:rPr>
                <w:rFonts w:hint="eastAsia" w:ascii="仿宋" w:hAnsi="仿宋" w:eastAsia="仿宋"/>
                <w:bCs/>
                <w:sz w:val="24"/>
              </w:rPr>
            </w:pPr>
            <w:r>
              <w:rPr>
                <w:rFonts w:hint="eastAsia" w:ascii="仿宋" w:hAnsi="仿宋" w:eastAsia="仿宋"/>
                <w:bCs/>
                <w:sz w:val="24"/>
              </w:rPr>
              <w:t>实践</w:t>
            </w:r>
          </w:p>
          <w:p w14:paraId="6C55292E">
            <w:pPr>
              <w:widowControl/>
              <w:jc w:val="center"/>
              <w:rPr>
                <w:rFonts w:hint="eastAsia" w:ascii="仿宋" w:hAnsi="仿宋" w:eastAsia="仿宋"/>
                <w:bCs/>
                <w:spacing w:val="20"/>
                <w:sz w:val="24"/>
              </w:rPr>
            </w:pPr>
            <w:r>
              <w:rPr>
                <w:rFonts w:hint="eastAsia" w:ascii="仿宋" w:hAnsi="仿宋" w:eastAsia="仿宋"/>
                <w:bCs/>
                <w:sz w:val="24"/>
              </w:rPr>
              <w:t>学时</w:t>
            </w:r>
          </w:p>
        </w:tc>
        <w:tc>
          <w:tcPr>
            <w:tcW w:w="1514" w:type="dxa"/>
            <w:vMerge w:val="continue"/>
            <w:vAlign w:val="center"/>
          </w:tcPr>
          <w:p w14:paraId="1A19C725">
            <w:pPr>
              <w:widowControl/>
              <w:jc w:val="center"/>
              <w:rPr>
                <w:rFonts w:hint="eastAsia" w:ascii="仿宋" w:hAnsi="仿宋" w:eastAsia="仿宋"/>
                <w:b/>
                <w:spacing w:val="20"/>
                <w:sz w:val="24"/>
              </w:rPr>
            </w:pPr>
          </w:p>
        </w:tc>
        <w:tc>
          <w:tcPr>
            <w:tcW w:w="1321" w:type="dxa"/>
            <w:vMerge w:val="continue"/>
            <w:vAlign w:val="center"/>
          </w:tcPr>
          <w:p w14:paraId="69F98C9D">
            <w:pPr>
              <w:widowControl/>
              <w:jc w:val="center"/>
              <w:rPr>
                <w:rFonts w:hint="eastAsia" w:ascii="仿宋" w:hAnsi="仿宋" w:eastAsia="仿宋"/>
                <w:b/>
                <w:spacing w:val="20"/>
                <w:szCs w:val="21"/>
              </w:rPr>
            </w:pPr>
          </w:p>
        </w:tc>
      </w:tr>
      <w:tr w14:paraId="76D02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44D03973">
            <w:pPr>
              <w:widowControl/>
              <w:jc w:val="center"/>
              <w:rPr>
                <w:rFonts w:hint="eastAsia" w:ascii="仿宋" w:hAnsi="仿宋" w:eastAsia="仿宋"/>
                <w:bCs/>
                <w:sz w:val="24"/>
              </w:rPr>
            </w:pPr>
            <w:r>
              <w:rPr>
                <w:rFonts w:hint="eastAsia" w:ascii="仿宋" w:hAnsi="仿宋" w:eastAsia="仿宋"/>
                <w:bCs/>
                <w:sz w:val="24"/>
              </w:rPr>
              <w:t>1</w:t>
            </w:r>
          </w:p>
        </w:tc>
        <w:tc>
          <w:tcPr>
            <w:tcW w:w="2547" w:type="dxa"/>
            <w:gridSpan w:val="2"/>
            <w:vAlign w:val="center"/>
          </w:tcPr>
          <w:p w14:paraId="0338CC7E">
            <w:pPr>
              <w:widowControl/>
              <w:jc w:val="center"/>
              <w:rPr>
                <w:rFonts w:hint="eastAsia" w:ascii="仿宋" w:hAnsi="仿宋" w:eastAsia="仿宋"/>
                <w:bCs/>
                <w:sz w:val="24"/>
              </w:rPr>
            </w:pPr>
            <w:r>
              <w:rPr>
                <w:rFonts w:hint="eastAsia" w:ascii="仿宋" w:hAnsi="仿宋" w:eastAsia="仿宋"/>
                <w:bCs/>
                <w:sz w:val="24"/>
              </w:rPr>
              <w:t>集成电路导论</w:t>
            </w:r>
          </w:p>
        </w:tc>
        <w:tc>
          <w:tcPr>
            <w:tcW w:w="992" w:type="dxa"/>
            <w:vAlign w:val="center"/>
          </w:tcPr>
          <w:p w14:paraId="3509BDD7">
            <w:pPr>
              <w:widowControl/>
              <w:jc w:val="center"/>
              <w:rPr>
                <w:rFonts w:hint="eastAsia" w:ascii="仿宋" w:hAnsi="仿宋" w:eastAsia="仿宋"/>
                <w:bCs/>
                <w:sz w:val="24"/>
              </w:rPr>
            </w:pPr>
            <w:r>
              <w:rPr>
                <w:rFonts w:hint="eastAsia" w:ascii="仿宋" w:hAnsi="仿宋" w:eastAsia="仿宋"/>
                <w:bCs/>
                <w:sz w:val="24"/>
              </w:rPr>
              <w:t>2</w:t>
            </w:r>
          </w:p>
        </w:tc>
        <w:tc>
          <w:tcPr>
            <w:tcW w:w="992" w:type="dxa"/>
            <w:vAlign w:val="center"/>
          </w:tcPr>
          <w:p w14:paraId="51C4A032">
            <w:pPr>
              <w:widowControl/>
              <w:jc w:val="center"/>
              <w:rPr>
                <w:rFonts w:hint="eastAsia" w:ascii="仿宋" w:hAnsi="仿宋" w:eastAsia="仿宋"/>
                <w:bCs/>
                <w:sz w:val="24"/>
              </w:rPr>
            </w:pPr>
            <w:r>
              <w:rPr>
                <w:rFonts w:hint="eastAsia" w:ascii="仿宋" w:hAnsi="仿宋" w:eastAsia="仿宋"/>
                <w:bCs/>
                <w:sz w:val="24"/>
              </w:rPr>
              <w:t>32</w:t>
            </w:r>
          </w:p>
        </w:tc>
        <w:tc>
          <w:tcPr>
            <w:tcW w:w="851" w:type="dxa"/>
            <w:vAlign w:val="center"/>
          </w:tcPr>
          <w:p w14:paraId="7F428CC1">
            <w:pPr>
              <w:widowControl/>
              <w:jc w:val="center"/>
              <w:rPr>
                <w:rFonts w:hint="eastAsia" w:ascii="仿宋" w:hAnsi="仿宋" w:eastAsia="仿宋"/>
                <w:bCs/>
                <w:sz w:val="24"/>
              </w:rPr>
            </w:pPr>
            <w:r>
              <w:rPr>
                <w:rFonts w:hint="eastAsia" w:ascii="仿宋" w:hAnsi="仿宋" w:eastAsia="仿宋"/>
                <w:bCs/>
                <w:sz w:val="24"/>
              </w:rPr>
              <w:t>32</w:t>
            </w:r>
          </w:p>
        </w:tc>
        <w:tc>
          <w:tcPr>
            <w:tcW w:w="992" w:type="dxa"/>
            <w:vAlign w:val="center"/>
          </w:tcPr>
          <w:p w14:paraId="371ECC36">
            <w:pPr>
              <w:widowControl/>
              <w:jc w:val="center"/>
              <w:rPr>
                <w:rFonts w:hint="eastAsia" w:ascii="仿宋" w:hAnsi="仿宋" w:eastAsia="仿宋"/>
                <w:bCs/>
                <w:sz w:val="24"/>
              </w:rPr>
            </w:pPr>
            <w:r>
              <w:rPr>
                <w:rFonts w:hint="eastAsia" w:ascii="仿宋" w:hAnsi="仿宋" w:eastAsia="仿宋"/>
                <w:bCs/>
                <w:sz w:val="24"/>
              </w:rPr>
              <w:t>0</w:t>
            </w:r>
          </w:p>
        </w:tc>
        <w:tc>
          <w:tcPr>
            <w:tcW w:w="1514" w:type="dxa"/>
            <w:vAlign w:val="center"/>
          </w:tcPr>
          <w:p w14:paraId="338D1673">
            <w:pPr>
              <w:widowControl/>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46A303A8">
            <w:pPr>
              <w:widowControl/>
              <w:jc w:val="center"/>
              <w:rPr>
                <w:rFonts w:hint="eastAsia" w:ascii="仿宋" w:hAnsi="仿宋" w:eastAsia="仿宋"/>
                <w:bCs/>
                <w:sz w:val="24"/>
              </w:rPr>
            </w:pPr>
            <w:r>
              <w:rPr>
                <w:rFonts w:hint="eastAsia" w:ascii="仿宋" w:hAnsi="仿宋" w:eastAsia="仿宋"/>
                <w:bCs/>
                <w:sz w:val="24"/>
              </w:rPr>
              <w:t>微专业一</w:t>
            </w:r>
          </w:p>
        </w:tc>
      </w:tr>
      <w:tr w14:paraId="32AC7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29A67F38">
            <w:pPr>
              <w:widowControl/>
              <w:jc w:val="center"/>
              <w:rPr>
                <w:rFonts w:hint="eastAsia" w:ascii="仿宋" w:hAnsi="仿宋" w:eastAsia="仿宋"/>
                <w:bCs/>
                <w:sz w:val="24"/>
              </w:rPr>
            </w:pPr>
            <w:r>
              <w:rPr>
                <w:rFonts w:hint="eastAsia" w:ascii="仿宋" w:hAnsi="仿宋" w:eastAsia="仿宋"/>
                <w:bCs/>
                <w:sz w:val="24"/>
              </w:rPr>
              <w:t>2</w:t>
            </w:r>
          </w:p>
        </w:tc>
        <w:tc>
          <w:tcPr>
            <w:tcW w:w="2547" w:type="dxa"/>
            <w:gridSpan w:val="2"/>
            <w:vAlign w:val="center"/>
          </w:tcPr>
          <w:p w14:paraId="736B527E">
            <w:pPr>
              <w:widowControl/>
              <w:jc w:val="center"/>
              <w:rPr>
                <w:rFonts w:hint="eastAsia" w:ascii="仿宋" w:hAnsi="仿宋" w:eastAsia="仿宋"/>
                <w:bCs/>
                <w:sz w:val="24"/>
              </w:rPr>
            </w:pPr>
            <w:r>
              <w:rPr>
                <w:rFonts w:hint="eastAsia" w:ascii="仿宋" w:hAnsi="仿宋" w:eastAsia="仿宋"/>
                <w:bCs/>
                <w:sz w:val="24"/>
              </w:rPr>
              <w:t>集成电路装备概论</w:t>
            </w:r>
          </w:p>
        </w:tc>
        <w:tc>
          <w:tcPr>
            <w:tcW w:w="992" w:type="dxa"/>
            <w:vAlign w:val="center"/>
          </w:tcPr>
          <w:p w14:paraId="7748B317">
            <w:pPr>
              <w:widowControl/>
              <w:jc w:val="center"/>
              <w:rPr>
                <w:rFonts w:hint="eastAsia" w:ascii="仿宋" w:hAnsi="仿宋" w:eastAsia="仿宋"/>
                <w:bCs/>
                <w:sz w:val="24"/>
              </w:rPr>
            </w:pPr>
            <w:r>
              <w:rPr>
                <w:rFonts w:hint="eastAsia" w:ascii="仿宋" w:hAnsi="仿宋" w:eastAsia="仿宋"/>
                <w:bCs/>
                <w:sz w:val="24"/>
              </w:rPr>
              <w:t>2</w:t>
            </w:r>
          </w:p>
        </w:tc>
        <w:tc>
          <w:tcPr>
            <w:tcW w:w="992" w:type="dxa"/>
            <w:vAlign w:val="center"/>
          </w:tcPr>
          <w:p w14:paraId="3B0B7B5B">
            <w:pPr>
              <w:widowControl/>
              <w:jc w:val="center"/>
              <w:rPr>
                <w:rFonts w:hint="eastAsia" w:ascii="仿宋" w:hAnsi="仿宋" w:eastAsia="仿宋"/>
                <w:bCs/>
                <w:sz w:val="24"/>
              </w:rPr>
            </w:pPr>
            <w:r>
              <w:rPr>
                <w:rFonts w:hint="eastAsia" w:ascii="仿宋" w:hAnsi="仿宋" w:eastAsia="仿宋"/>
                <w:bCs/>
                <w:sz w:val="24"/>
              </w:rPr>
              <w:t>32</w:t>
            </w:r>
          </w:p>
        </w:tc>
        <w:tc>
          <w:tcPr>
            <w:tcW w:w="851" w:type="dxa"/>
            <w:vAlign w:val="center"/>
          </w:tcPr>
          <w:p w14:paraId="42883198">
            <w:pPr>
              <w:widowControl/>
              <w:jc w:val="center"/>
              <w:rPr>
                <w:rFonts w:hint="eastAsia" w:ascii="仿宋" w:hAnsi="仿宋" w:eastAsia="仿宋"/>
                <w:bCs/>
                <w:sz w:val="24"/>
              </w:rPr>
            </w:pPr>
            <w:r>
              <w:rPr>
                <w:rFonts w:hint="eastAsia" w:ascii="仿宋" w:hAnsi="仿宋" w:eastAsia="仿宋"/>
                <w:bCs/>
                <w:sz w:val="24"/>
              </w:rPr>
              <w:t>32</w:t>
            </w:r>
          </w:p>
        </w:tc>
        <w:tc>
          <w:tcPr>
            <w:tcW w:w="992" w:type="dxa"/>
            <w:vAlign w:val="center"/>
          </w:tcPr>
          <w:p w14:paraId="7DE35E65">
            <w:pPr>
              <w:widowControl/>
              <w:jc w:val="center"/>
              <w:rPr>
                <w:rFonts w:hint="eastAsia" w:ascii="仿宋" w:hAnsi="仿宋" w:eastAsia="仿宋"/>
                <w:bCs/>
                <w:sz w:val="24"/>
              </w:rPr>
            </w:pPr>
            <w:r>
              <w:rPr>
                <w:rFonts w:hint="eastAsia" w:ascii="仿宋" w:hAnsi="仿宋" w:eastAsia="仿宋"/>
                <w:bCs/>
                <w:sz w:val="24"/>
              </w:rPr>
              <w:t>0</w:t>
            </w:r>
          </w:p>
        </w:tc>
        <w:tc>
          <w:tcPr>
            <w:tcW w:w="1514" w:type="dxa"/>
            <w:vAlign w:val="center"/>
          </w:tcPr>
          <w:p w14:paraId="16A94227">
            <w:pPr>
              <w:widowControl/>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765B9693">
            <w:pPr>
              <w:widowControl/>
              <w:jc w:val="center"/>
              <w:rPr>
                <w:rFonts w:hint="eastAsia" w:ascii="仿宋" w:hAnsi="仿宋" w:eastAsia="仿宋"/>
                <w:bCs/>
                <w:sz w:val="24"/>
              </w:rPr>
            </w:pPr>
            <w:r>
              <w:rPr>
                <w:rFonts w:hint="eastAsia" w:ascii="仿宋" w:hAnsi="仿宋" w:eastAsia="仿宋"/>
                <w:bCs/>
                <w:sz w:val="24"/>
              </w:rPr>
              <w:t>微专业一</w:t>
            </w:r>
          </w:p>
        </w:tc>
      </w:tr>
      <w:tr w14:paraId="7F5C6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1E9FC7B8">
            <w:pPr>
              <w:widowControl/>
              <w:jc w:val="center"/>
              <w:rPr>
                <w:rFonts w:hint="eastAsia" w:ascii="仿宋" w:hAnsi="仿宋" w:eastAsia="仿宋"/>
                <w:bCs/>
                <w:sz w:val="24"/>
              </w:rPr>
            </w:pPr>
            <w:r>
              <w:rPr>
                <w:rFonts w:hint="eastAsia" w:ascii="仿宋" w:hAnsi="仿宋" w:eastAsia="仿宋"/>
                <w:bCs/>
                <w:sz w:val="24"/>
              </w:rPr>
              <w:t>3</w:t>
            </w:r>
          </w:p>
        </w:tc>
        <w:tc>
          <w:tcPr>
            <w:tcW w:w="2547" w:type="dxa"/>
            <w:gridSpan w:val="2"/>
            <w:vAlign w:val="center"/>
          </w:tcPr>
          <w:p w14:paraId="72BD8DA5">
            <w:pPr>
              <w:widowControl/>
              <w:jc w:val="center"/>
              <w:rPr>
                <w:rFonts w:hint="eastAsia" w:ascii="仿宋" w:hAnsi="仿宋" w:eastAsia="仿宋"/>
                <w:bCs/>
                <w:sz w:val="24"/>
              </w:rPr>
            </w:pPr>
            <w:r>
              <w:rPr>
                <w:rFonts w:hint="eastAsia" w:ascii="仿宋" w:hAnsi="仿宋" w:eastAsia="仿宋"/>
                <w:bCs/>
                <w:sz w:val="24"/>
              </w:rPr>
              <w:t>电子封装材料与工艺</w:t>
            </w:r>
          </w:p>
        </w:tc>
        <w:tc>
          <w:tcPr>
            <w:tcW w:w="992" w:type="dxa"/>
            <w:vAlign w:val="center"/>
          </w:tcPr>
          <w:p w14:paraId="6CEFEECC">
            <w:pPr>
              <w:widowControl/>
              <w:jc w:val="center"/>
              <w:rPr>
                <w:rFonts w:hint="eastAsia" w:ascii="仿宋" w:hAnsi="仿宋" w:eastAsia="仿宋"/>
                <w:bCs/>
                <w:sz w:val="24"/>
              </w:rPr>
            </w:pPr>
            <w:r>
              <w:rPr>
                <w:rFonts w:hint="eastAsia" w:ascii="仿宋" w:hAnsi="仿宋" w:eastAsia="仿宋"/>
                <w:bCs/>
                <w:sz w:val="24"/>
              </w:rPr>
              <w:t>2</w:t>
            </w:r>
          </w:p>
        </w:tc>
        <w:tc>
          <w:tcPr>
            <w:tcW w:w="992" w:type="dxa"/>
            <w:vAlign w:val="center"/>
          </w:tcPr>
          <w:p w14:paraId="4BA8EBB0">
            <w:pPr>
              <w:widowControl/>
              <w:jc w:val="center"/>
              <w:rPr>
                <w:rFonts w:hint="eastAsia" w:ascii="仿宋" w:hAnsi="仿宋" w:eastAsia="仿宋"/>
                <w:bCs/>
                <w:sz w:val="24"/>
              </w:rPr>
            </w:pPr>
            <w:r>
              <w:rPr>
                <w:rFonts w:hint="eastAsia" w:ascii="仿宋" w:hAnsi="仿宋" w:eastAsia="仿宋"/>
                <w:bCs/>
                <w:sz w:val="24"/>
              </w:rPr>
              <w:t>32</w:t>
            </w:r>
          </w:p>
        </w:tc>
        <w:tc>
          <w:tcPr>
            <w:tcW w:w="851" w:type="dxa"/>
            <w:vAlign w:val="center"/>
          </w:tcPr>
          <w:p w14:paraId="2A66A837">
            <w:pPr>
              <w:widowControl/>
              <w:jc w:val="center"/>
              <w:rPr>
                <w:rFonts w:hint="eastAsia" w:ascii="仿宋" w:hAnsi="仿宋" w:eastAsia="仿宋"/>
                <w:bCs/>
                <w:sz w:val="24"/>
              </w:rPr>
            </w:pPr>
            <w:r>
              <w:rPr>
                <w:rFonts w:hint="eastAsia" w:ascii="仿宋" w:hAnsi="仿宋" w:eastAsia="仿宋"/>
                <w:bCs/>
                <w:sz w:val="24"/>
              </w:rPr>
              <w:t>24</w:t>
            </w:r>
          </w:p>
        </w:tc>
        <w:tc>
          <w:tcPr>
            <w:tcW w:w="992" w:type="dxa"/>
            <w:vAlign w:val="center"/>
          </w:tcPr>
          <w:p w14:paraId="3F500153">
            <w:pPr>
              <w:widowControl/>
              <w:jc w:val="center"/>
              <w:rPr>
                <w:rFonts w:hint="eastAsia" w:ascii="仿宋" w:hAnsi="仿宋" w:eastAsia="仿宋"/>
                <w:bCs/>
                <w:sz w:val="24"/>
              </w:rPr>
            </w:pPr>
            <w:r>
              <w:rPr>
                <w:rFonts w:hint="eastAsia" w:ascii="仿宋" w:hAnsi="仿宋" w:eastAsia="仿宋"/>
                <w:bCs/>
                <w:sz w:val="24"/>
              </w:rPr>
              <w:t>8</w:t>
            </w:r>
          </w:p>
        </w:tc>
        <w:tc>
          <w:tcPr>
            <w:tcW w:w="1514" w:type="dxa"/>
            <w:vAlign w:val="center"/>
          </w:tcPr>
          <w:p w14:paraId="7B4FA198">
            <w:pPr>
              <w:widowControl/>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38F73942">
            <w:pPr>
              <w:widowControl/>
              <w:jc w:val="center"/>
              <w:rPr>
                <w:rFonts w:hint="eastAsia" w:ascii="仿宋" w:hAnsi="仿宋" w:eastAsia="仿宋"/>
                <w:bCs/>
                <w:sz w:val="24"/>
              </w:rPr>
            </w:pPr>
            <w:r>
              <w:rPr>
                <w:rFonts w:hint="eastAsia" w:ascii="仿宋" w:hAnsi="仿宋" w:eastAsia="仿宋"/>
                <w:bCs/>
                <w:sz w:val="24"/>
              </w:rPr>
              <w:t>微专业一</w:t>
            </w:r>
          </w:p>
        </w:tc>
      </w:tr>
      <w:tr w14:paraId="51150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171B1FB5">
            <w:pPr>
              <w:widowControl/>
              <w:jc w:val="center"/>
              <w:rPr>
                <w:rFonts w:hint="eastAsia" w:ascii="仿宋" w:hAnsi="仿宋" w:eastAsia="仿宋"/>
                <w:bCs/>
                <w:sz w:val="24"/>
              </w:rPr>
            </w:pPr>
            <w:r>
              <w:rPr>
                <w:rFonts w:hint="eastAsia" w:ascii="仿宋" w:hAnsi="仿宋" w:eastAsia="仿宋"/>
                <w:bCs/>
                <w:sz w:val="24"/>
              </w:rPr>
              <w:t>4</w:t>
            </w:r>
          </w:p>
        </w:tc>
        <w:tc>
          <w:tcPr>
            <w:tcW w:w="2547" w:type="dxa"/>
            <w:gridSpan w:val="2"/>
            <w:vAlign w:val="center"/>
          </w:tcPr>
          <w:p w14:paraId="069C176F">
            <w:pPr>
              <w:widowControl/>
              <w:jc w:val="center"/>
              <w:rPr>
                <w:rFonts w:hint="eastAsia" w:ascii="仿宋" w:hAnsi="仿宋" w:eastAsia="仿宋"/>
                <w:bCs/>
                <w:sz w:val="24"/>
              </w:rPr>
            </w:pPr>
            <w:r>
              <w:rPr>
                <w:rFonts w:hint="eastAsia" w:ascii="仿宋" w:hAnsi="仿宋" w:eastAsia="仿宋"/>
                <w:bCs/>
                <w:sz w:val="24"/>
              </w:rPr>
              <w:t>电子器件散热技术</w:t>
            </w:r>
          </w:p>
        </w:tc>
        <w:tc>
          <w:tcPr>
            <w:tcW w:w="992" w:type="dxa"/>
            <w:vAlign w:val="center"/>
          </w:tcPr>
          <w:p w14:paraId="2D3BA50A">
            <w:pPr>
              <w:widowControl/>
              <w:jc w:val="center"/>
              <w:rPr>
                <w:rFonts w:hint="eastAsia" w:ascii="仿宋" w:hAnsi="仿宋" w:eastAsia="仿宋"/>
                <w:bCs/>
                <w:sz w:val="24"/>
              </w:rPr>
            </w:pPr>
            <w:r>
              <w:rPr>
                <w:rFonts w:hint="eastAsia" w:ascii="仿宋" w:hAnsi="仿宋" w:eastAsia="仿宋"/>
                <w:bCs/>
                <w:sz w:val="24"/>
              </w:rPr>
              <w:t>2</w:t>
            </w:r>
          </w:p>
        </w:tc>
        <w:tc>
          <w:tcPr>
            <w:tcW w:w="992" w:type="dxa"/>
            <w:vAlign w:val="center"/>
          </w:tcPr>
          <w:p w14:paraId="64372E72">
            <w:pPr>
              <w:widowControl/>
              <w:jc w:val="center"/>
              <w:rPr>
                <w:rFonts w:hint="eastAsia" w:ascii="仿宋" w:hAnsi="仿宋" w:eastAsia="仿宋"/>
                <w:bCs/>
                <w:sz w:val="24"/>
              </w:rPr>
            </w:pPr>
            <w:r>
              <w:rPr>
                <w:rFonts w:hint="eastAsia" w:ascii="仿宋" w:hAnsi="仿宋" w:eastAsia="仿宋"/>
                <w:bCs/>
                <w:sz w:val="24"/>
              </w:rPr>
              <w:t>32</w:t>
            </w:r>
          </w:p>
        </w:tc>
        <w:tc>
          <w:tcPr>
            <w:tcW w:w="851" w:type="dxa"/>
            <w:vAlign w:val="center"/>
          </w:tcPr>
          <w:p w14:paraId="33FDC5FF">
            <w:pPr>
              <w:widowControl/>
              <w:jc w:val="center"/>
              <w:rPr>
                <w:rFonts w:hint="eastAsia" w:ascii="仿宋" w:hAnsi="仿宋" w:eastAsia="仿宋"/>
                <w:bCs/>
                <w:sz w:val="24"/>
              </w:rPr>
            </w:pPr>
            <w:r>
              <w:rPr>
                <w:rFonts w:hint="eastAsia" w:ascii="仿宋" w:hAnsi="仿宋" w:eastAsia="仿宋"/>
                <w:bCs/>
                <w:sz w:val="24"/>
              </w:rPr>
              <w:t>16</w:t>
            </w:r>
          </w:p>
        </w:tc>
        <w:tc>
          <w:tcPr>
            <w:tcW w:w="992" w:type="dxa"/>
            <w:vAlign w:val="center"/>
          </w:tcPr>
          <w:p w14:paraId="29A1A7C5">
            <w:pPr>
              <w:widowControl/>
              <w:jc w:val="center"/>
              <w:rPr>
                <w:rFonts w:hint="eastAsia" w:ascii="仿宋" w:hAnsi="仿宋" w:eastAsia="仿宋"/>
                <w:bCs/>
                <w:sz w:val="24"/>
              </w:rPr>
            </w:pPr>
            <w:r>
              <w:rPr>
                <w:rFonts w:hint="eastAsia" w:ascii="仿宋" w:hAnsi="仿宋" w:eastAsia="仿宋"/>
                <w:bCs/>
                <w:sz w:val="24"/>
              </w:rPr>
              <w:t>16</w:t>
            </w:r>
          </w:p>
        </w:tc>
        <w:tc>
          <w:tcPr>
            <w:tcW w:w="1514" w:type="dxa"/>
            <w:vAlign w:val="center"/>
          </w:tcPr>
          <w:p w14:paraId="39AE0C21">
            <w:pPr>
              <w:widowControl/>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6514267A">
            <w:pPr>
              <w:widowControl/>
              <w:jc w:val="center"/>
              <w:rPr>
                <w:rFonts w:hint="eastAsia" w:ascii="仿宋" w:hAnsi="仿宋" w:eastAsia="仿宋"/>
                <w:bCs/>
                <w:sz w:val="24"/>
              </w:rPr>
            </w:pPr>
            <w:r>
              <w:rPr>
                <w:rFonts w:hint="eastAsia" w:ascii="仿宋" w:hAnsi="仿宋" w:eastAsia="仿宋"/>
                <w:bCs/>
                <w:sz w:val="24"/>
              </w:rPr>
              <w:t>微专业二</w:t>
            </w:r>
          </w:p>
        </w:tc>
      </w:tr>
      <w:tr w14:paraId="14068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67F6432B">
            <w:pPr>
              <w:widowControl/>
              <w:jc w:val="center"/>
              <w:rPr>
                <w:rFonts w:hint="eastAsia" w:ascii="仿宋" w:hAnsi="仿宋" w:eastAsia="仿宋"/>
                <w:bCs/>
                <w:sz w:val="24"/>
              </w:rPr>
            </w:pPr>
            <w:r>
              <w:rPr>
                <w:rFonts w:hint="eastAsia" w:ascii="仿宋" w:hAnsi="仿宋" w:eastAsia="仿宋"/>
                <w:bCs/>
                <w:sz w:val="24"/>
              </w:rPr>
              <w:t>5</w:t>
            </w:r>
          </w:p>
        </w:tc>
        <w:tc>
          <w:tcPr>
            <w:tcW w:w="2547" w:type="dxa"/>
            <w:gridSpan w:val="2"/>
            <w:vAlign w:val="center"/>
          </w:tcPr>
          <w:p w14:paraId="6D7BC18E">
            <w:pPr>
              <w:widowControl/>
              <w:jc w:val="center"/>
              <w:rPr>
                <w:rFonts w:hint="eastAsia" w:ascii="仿宋" w:hAnsi="仿宋" w:eastAsia="仿宋"/>
                <w:bCs/>
                <w:sz w:val="24"/>
              </w:rPr>
            </w:pPr>
            <w:r>
              <w:rPr>
                <w:rFonts w:hint="eastAsia" w:ascii="仿宋" w:hAnsi="仿宋" w:eastAsia="仿宋"/>
                <w:bCs/>
                <w:sz w:val="24"/>
              </w:rPr>
              <w:t>集成电路热设计与仿真</w:t>
            </w:r>
          </w:p>
        </w:tc>
        <w:tc>
          <w:tcPr>
            <w:tcW w:w="992" w:type="dxa"/>
            <w:vAlign w:val="center"/>
          </w:tcPr>
          <w:p w14:paraId="3FBD44DF">
            <w:pPr>
              <w:widowControl/>
              <w:jc w:val="center"/>
              <w:rPr>
                <w:rFonts w:hint="eastAsia" w:ascii="仿宋" w:hAnsi="仿宋" w:eastAsia="仿宋"/>
                <w:bCs/>
                <w:sz w:val="24"/>
              </w:rPr>
            </w:pPr>
            <w:r>
              <w:rPr>
                <w:rFonts w:hint="eastAsia" w:ascii="仿宋" w:hAnsi="仿宋" w:eastAsia="仿宋"/>
                <w:bCs/>
                <w:sz w:val="24"/>
              </w:rPr>
              <w:t>2</w:t>
            </w:r>
          </w:p>
        </w:tc>
        <w:tc>
          <w:tcPr>
            <w:tcW w:w="992" w:type="dxa"/>
            <w:vAlign w:val="center"/>
          </w:tcPr>
          <w:p w14:paraId="5B07E239">
            <w:pPr>
              <w:widowControl/>
              <w:jc w:val="center"/>
              <w:rPr>
                <w:rFonts w:hint="eastAsia" w:ascii="仿宋" w:hAnsi="仿宋" w:eastAsia="仿宋"/>
                <w:bCs/>
                <w:sz w:val="24"/>
              </w:rPr>
            </w:pPr>
            <w:r>
              <w:rPr>
                <w:rFonts w:hint="eastAsia" w:ascii="仿宋" w:hAnsi="仿宋" w:eastAsia="仿宋"/>
                <w:bCs/>
                <w:sz w:val="24"/>
              </w:rPr>
              <w:t>32</w:t>
            </w:r>
          </w:p>
        </w:tc>
        <w:tc>
          <w:tcPr>
            <w:tcW w:w="851" w:type="dxa"/>
            <w:vAlign w:val="center"/>
          </w:tcPr>
          <w:p w14:paraId="587E7BEC">
            <w:pPr>
              <w:widowControl/>
              <w:jc w:val="center"/>
              <w:rPr>
                <w:rFonts w:hint="eastAsia" w:ascii="仿宋" w:hAnsi="仿宋" w:eastAsia="仿宋"/>
                <w:bCs/>
                <w:sz w:val="24"/>
              </w:rPr>
            </w:pPr>
            <w:r>
              <w:rPr>
                <w:rFonts w:hint="eastAsia" w:ascii="仿宋" w:hAnsi="仿宋" w:eastAsia="仿宋"/>
                <w:bCs/>
                <w:sz w:val="24"/>
              </w:rPr>
              <w:t>16</w:t>
            </w:r>
          </w:p>
        </w:tc>
        <w:tc>
          <w:tcPr>
            <w:tcW w:w="992" w:type="dxa"/>
            <w:vAlign w:val="center"/>
          </w:tcPr>
          <w:p w14:paraId="0764F710">
            <w:pPr>
              <w:widowControl/>
              <w:jc w:val="center"/>
              <w:rPr>
                <w:rFonts w:hint="eastAsia" w:ascii="仿宋" w:hAnsi="仿宋" w:eastAsia="仿宋"/>
                <w:bCs/>
                <w:sz w:val="24"/>
              </w:rPr>
            </w:pPr>
            <w:r>
              <w:rPr>
                <w:rFonts w:hint="eastAsia" w:ascii="仿宋" w:hAnsi="仿宋" w:eastAsia="仿宋"/>
                <w:bCs/>
                <w:sz w:val="24"/>
              </w:rPr>
              <w:t>16</w:t>
            </w:r>
          </w:p>
        </w:tc>
        <w:tc>
          <w:tcPr>
            <w:tcW w:w="1514" w:type="dxa"/>
            <w:vAlign w:val="center"/>
          </w:tcPr>
          <w:p w14:paraId="4766CA9F">
            <w:pPr>
              <w:widowControl/>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4D781D3D">
            <w:pPr>
              <w:widowControl/>
              <w:jc w:val="center"/>
              <w:rPr>
                <w:rFonts w:hint="eastAsia" w:ascii="仿宋" w:hAnsi="仿宋" w:eastAsia="仿宋"/>
                <w:bCs/>
                <w:sz w:val="24"/>
              </w:rPr>
            </w:pPr>
            <w:r>
              <w:rPr>
                <w:rFonts w:hint="eastAsia" w:ascii="仿宋" w:hAnsi="仿宋" w:eastAsia="仿宋"/>
                <w:bCs/>
                <w:sz w:val="24"/>
              </w:rPr>
              <w:t>微专业二</w:t>
            </w:r>
          </w:p>
        </w:tc>
      </w:tr>
      <w:tr w14:paraId="54EE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tcBorders>
              <w:bottom w:val="single" w:color="auto" w:sz="4" w:space="0"/>
            </w:tcBorders>
            <w:vAlign w:val="center"/>
          </w:tcPr>
          <w:p w14:paraId="5892C6E3">
            <w:pPr>
              <w:widowControl/>
              <w:jc w:val="center"/>
              <w:rPr>
                <w:rFonts w:hint="eastAsia" w:ascii="仿宋" w:hAnsi="仿宋" w:eastAsia="仿宋"/>
                <w:bCs/>
                <w:sz w:val="24"/>
              </w:rPr>
            </w:pPr>
          </w:p>
        </w:tc>
        <w:tc>
          <w:tcPr>
            <w:tcW w:w="2547" w:type="dxa"/>
            <w:gridSpan w:val="2"/>
            <w:tcBorders>
              <w:bottom w:val="single" w:color="auto" w:sz="4" w:space="0"/>
            </w:tcBorders>
            <w:vAlign w:val="center"/>
          </w:tcPr>
          <w:p w14:paraId="11E4DE84">
            <w:pPr>
              <w:widowControl/>
              <w:jc w:val="center"/>
              <w:rPr>
                <w:rFonts w:hint="eastAsia" w:ascii="仿宋" w:hAnsi="仿宋" w:eastAsia="仿宋"/>
                <w:bCs/>
                <w:sz w:val="24"/>
              </w:rPr>
            </w:pPr>
            <w:r>
              <w:rPr>
                <w:rFonts w:hint="eastAsia" w:ascii="仿宋" w:hAnsi="仿宋" w:eastAsia="仿宋"/>
                <w:bCs/>
                <w:sz w:val="24"/>
              </w:rPr>
              <w:t>合计</w:t>
            </w:r>
          </w:p>
        </w:tc>
        <w:tc>
          <w:tcPr>
            <w:tcW w:w="992" w:type="dxa"/>
            <w:tcBorders>
              <w:bottom w:val="single" w:color="auto" w:sz="4" w:space="0"/>
            </w:tcBorders>
            <w:vAlign w:val="center"/>
          </w:tcPr>
          <w:p w14:paraId="14391E96">
            <w:pPr>
              <w:widowControl/>
              <w:jc w:val="center"/>
              <w:rPr>
                <w:rFonts w:hint="eastAsia" w:ascii="仿宋" w:hAnsi="仿宋" w:eastAsia="仿宋"/>
                <w:bCs/>
                <w:sz w:val="24"/>
              </w:rPr>
            </w:pPr>
            <w:r>
              <w:rPr>
                <w:rFonts w:hint="eastAsia" w:ascii="仿宋" w:hAnsi="仿宋" w:eastAsia="仿宋"/>
                <w:bCs/>
                <w:sz w:val="24"/>
              </w:rPr>
              <w:t>10</w:t>
            </w:r>
          </w:p>
        </w:tc>
        <w:tc>
          <w:tcPr>
            <w:tcW w:w="992" w:type="dxa"/>
            <w:tcBorders>
              <w:bottom w:val="single" w:color="auto" w:sz="4" w:space="0"/>
            </w:tcBorders>
            <w:vAlign w:val="center"/>
          </w:tcPr>
          <w:p w14:paraId="6E570F8B">
            <w:pPr>
              <w:widowControl/>
              <w:jc w:val="center"/>
              <w:rPr>
                <w:rFonts w:hint="eastAsia" w:ascii="仿宋" w:hAnsi="仿宋" w:eastAsia="仿宋"/>
                <w:bCs/>
                <w:sz w:val="24"/>
              </w:rPr>
            </w:pPr>
            <w:r>
              <w:rPr>
                <w:rFonts w:hint="eastAsia" w:ascii="仿宋" w:hAnsi="仿宋" w:eastAsia="仿宋"/>
                <w:bCs/>
                <w:sz w:val="24"/>
              </w:rPr>
              <w:t>160</w:t>
            </w:r>
          </w:p>
        </w:tc>
        <w:tc>
          <w:tcPr>
            <w:tcW w:w="851" w:type="dxa"/>
            <w:tcBorders>
              <w:bottom w:val="single" w:color="auto" w:sz="4" w:space="0"/>
            </w:tcBorders>
            <w:vAlign w:val="center"/>
          </w:tcPr>
          <w:p w14:paraId="1CFC4A66">
            <w:pPr>
              <w:widowControl/>
              <w:jc w:val="center"/>
              <w:rPr>
                <w:rFonts w:hint="eastAsia" w:ascii="仿宋" w:hAnsi="仿宋" w:eastAsia="仿宋"/>
                <w:bCs/>
                <w:sz w:val="24"/>
              </w:rPr>
            </w:pPr>
            <w:r>
              <w:rPr>
                <w:rFonts w:hint="eastAsia" w:ascii="仿宋" w:hAnsi="仿宋" w:eastAsia="仿宋"/>
                <w:bCs/>
                <w:sz w:val="24"/>
              </w:rPr>
              <w:t>120</w:t>
            </w:r>
          </w:p>
        </w:tc>
        <w:tc>
          <w:tcPr>
            <w:tcW w:w="992" w:type="dxa"/>
            <w:tcBorders>
              <w:bottom w:val="single" w:color="auto" w:sz="4" w:space="0"/>
            </w:tcBorders>
            <w:vAlign w:val="center"/>
          </w:tcPr>
          <w:p w14:paraId="15BEEB1F">
            <w:pPr>
              <w:widowControl/>
              <w:jc w:val="center"/>
              <w:rPr>
                <w:rFonts w:hint="eastAsia" w:ascii="仿宋" w:hAnsi="仿宋" w:eastAsia="仿宋"/>
                <w:bCs/>
                <w:sz w:val="24"/>
              </w:rPr>
            </w:pPr>
            <w:r>
              <w:rPr>
                <w:rFonts w:hint="eastAsia" w:ascii="仿宋" w:hAnsi="仿宋" w:eastAsia="仿宋"/>
                <w:bCs/>
                <w:sz w:val="24"/>
              </w:rPr>
              <w:t>40</w:t>
            </w:r>
          </w:p>
        </w:tc>
        <w:tc>
          <w:tcPr>
            <w:tcW w:w="1514" w:type="dxa"/>
            <w:tcBorders>
              <w:bottom w:val="single" w:color="auto" w:sz="4" w:space="0"/>
            </w:tcBorders>
            <w:vAlign w:val="center"/>
          </w:tcPr>
          <w:p w14:paraId="584EC35A">
            <w:pPr>
              <w:widowControl/>
              <w:jc w:val="center"/>
              <w:rPr>
                <w:rFonts w:hint="eastAsia" w:ascii="仿宋" w:hAnsi="仿宋" w:eastAsia="仿宋"/>
                <w:bCs/>
                <w:sz w:val="24"/>
              </w:rPr>
            </w:pPr>
          </w:p>
        </w:tc>
        <w:tc>
          <w:tcPr>
            <w:tcW w:w="1321" w:type="dxa"/>
            <w:tcBorders>
              <w:bottom w:val="single" w:color="auto" w:sz="4" w:space="0"/>
            </w:tcBorders>
            <w:vAlign w:val="center"/>
          </w:tcPr>
          <w:p w14:paraId="60A92B49">
            <w:pPr>
              <w:widowControl/>
              <w:jc w:val="center"/>
              <w:rPr>
                <w:rFonts w:hint="eastAsia" w:ascii="仿宋" w:hAnsi="仿宋" w:eastAsia="仿宋"/>
                <w:bCs/>
                <w:sz w:val="24"/>
                <w:highlight w:val="yellow"/>
              </w:rPr>
            </w:pPr>
          </w:p>
        </w:tc>
      </w:tr>
      <w:tr w14:paraId="54CE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jc w:val="center"/>
        </w:trPr>
        <w:tc>
          <w:tcPr>
            <w:tcW w:w="1696" w:type="dxa"/>
            <w:gridSpan w:val="2"/>
            <w:vMerge w:val="restart"/>
            <w:tcBorders>
              <w:top w:val="single" w:color="auto" w:sz="4" w:space="0"/>
            </w:tcBorders>
            <w:vAlign w:val="center"/>
          </w:tcPr>
          <w:p w14:paraId="5B3E09B8">
            <w:pPr>
              <w:widowControl/>
              <w:jc w:val="center"/>
              <w:rPr>
                <w:rFonts w:hint="eastAsia" w:ascii="仿宋" w:hAnsi="仿宋" w:eastAsia="仿宋"/>
                <w:b/>
                <w:spacing w:val="20"/>
                <w:sz w:val="24"/>
              </w:rPr>
            </w:pPr>
            <w:r>
              <w:rPr>
                <w:rFonts w:hint="eastAsia" w:ascii="仿宋" w:hAnsi="仿宋" w:eastAsia="仿宋"/>
                <w:b/>
                <w:spacing w:val="20"/>
                <w:sz w:val="24"/>
              </w:rPr>
              <w:t>课程</w:t>
            </w:r>
          </w:p>
          <w:p w14:paraId="7607C131">
            <w:pPr>
              <w:widowControl/>
              <w:jc w:val="center"/>
              <w:rPr>
                <w:rFonts w:hint="eastAsia" w:ascii="仿宋" w:hAnsi="仿宋" w:eastAsia="仿宋"/>
                <w:b/>
                <w:spacing w:val="20"/>
                <w:sz w:val="24"/>
              </w:rPr>
            </w:pPr>
            <w:r>
              <w:rPr>
                <w:rFonts w:hint="eastAsia" w:ascii="仿宋" w:hAnsi="仿宋" w:eastAsia="仿宋"/>
                <w:b/>
                <w:spacing w:val="20"/>
                <w:sz w:val="24"/>
              </w:rPr>
              <w:t>简介</w:t>
            </w:r>
          </w:p>
        </w:tc>
        <w:tc>
          <w:tcPr>
            <w:tcW w:w="8080" w:type="dxa"/>
            <w:gridSpan w:val="7"/>
            <w:tcBorders>
              <w:top w:val="single" w:color="auto" w:sz="4" w:space="0"/>
            </w:tcBorders>
          </w:tcPr>
          <w:p w14:paraId="228B5D7A">
            <w:pPr>
              <w:widowControl/>
              <w:rPr>
                <w:rFonts w:hint="eastAsia" w:ascii="仿宋" w:hAnsi="仿宋" w:eastAsia="仿宋"/>
                <w:b/>
                <w:sz w:val="24"/>
              </w:rPr>
            </w:pPr>
            <w:r>
              <w:rPr>
                <w:rFonts w:hint="eastAsia" w:ascii="仿宋" w:hAnsi="仿宋" w:eastAsia="仿宋"/>
                <w:b/>
                <w:sz w:val="24"/>
              </w:rPr>
              <w:t>课程1：集成电路导论</w:t>
            </w:r>
          </w:p>
          <w:p w14:paraId="578DE1B8">
            <w:pPr>
              <w:widowControl/>
              <w:spacing w:line="360" w:lineRule="auto"/>
              <w:rPr>
                <w:rFonts w:hint="eastAsia" w:ascii="仿宋" w:hAnsi="仿宋" w:eastAsia="仿宋"/>
                <w:b/>
                <w:sz w:val="24"/>
              </w:rPr>
            </w:pPr>
            <w:r>
              <w:rPr>
                <w:rFonts w:hint="eastAsia" w:ascii="仿宋" w:hAnsi="仿宋" w:eastAsia="仿宋"/>
                <w:bCs/>
                <w:sz w:val="24"/>
              </w:rPr>
              <w:t>本课程系统介绍集成电路从设计、制造到封装测试的全流程技术体系。课程涵盖：集成电路发展历程与基本概念；数字与模拟集成电路设计方法、设计流程与设计抽象层次；关键制造工艺，包括氧化、光刻、刻蚀、离子注入、薄膜沉积等核心步骤；以及芯片封装与测试技术。同时介绍CMOS工艺特点、栅极结构演变、摩尔定律及后摩尔时代发展趋势。通过本课程的学习，学生将建立集成电路的完整知识框架，理解“设计—制造—封装—测试”各环节的相互关系，为后续从事电子信息、计算机等相关领域工作奠定基础</w:t>
            </w:r>
          </w:p>
          <w:p w14:paraId="791925DC">
            <w:pPr>
              <w:widowControl/>
              <w:rPr>
                <w:rFonts w:hint="eastAsia" w:ascii="仿宋" w:hAnsi="仿宋" w:eastAsia="仿宋"/>
                <w:bCs/>
                <w:sz w:val="24"/>
              </w:rPr>
            </w:pPr>
          </w:p>
        </w:tc>
      </w:tr>
      <w:tr w14:paraId="0E8FD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96" w:type="dxa"/>
            <w:gridSpan w:val="2"/>
            <w:vMerge w:val="continue"/>
            <w:tcBorders/>
            <w:vAlign w:val="center"/>
          </w:tcPr>
          <w:p w14:paraId="0AE661EE">
            <w:pPr>
              <w:widowControl/>
              <w:jc w:val="center"/>
              <w:rPr>
                <w:rFonts w:hint="eastAsia" w:ascii="仿宋" w:hAnsi="仿宋" w:eastAsia="仿宋"/>
                <w:bCs/>
                <w:sz w:val="24"/>
              </w:rPr>
            </w:pPr>
          </w:p>
        </w:tc>
        <w:tc>
          <w:tcPr>
            <w:tcW w:w="8080" w:type="dxa"/>
            <w:gridSpan w:val="7"/>
          </w:tcPr>
          <w:p w14:paraId="4347A98C">
            <w:pPr>
              <w:widowControl/>
              <w:rPr>
                <w:rFonts w:hint="eastAsia" w:ascii="仿宋" w:hAnsi="仿宋" w:eastAsia="仿宋"/>
                <w:b/>
                <w:sz w:val="24"/>
              </w:rPr>
            </w:pPr>
            <w:r>
              <w:rPr>
                <w:rFonts w:hint="eastAsia" w:ascii="仿宋" w:hAnsi="仿宋" w:eastAsia="仿宋"/>
                <w:b/>
                <w:sz w:val="24"/>
              </w:rPr>
              <w:t>课程2：集成电路装备概论</w:t>
            </w:r>
          </w:p>
          <w:p w14:paraId="2F4041A4">
            <w:pPr>
              <w:widowControl/>
              <w:spacing w:line="360" w:lineRule="auto"/>
              <w:rPr>
                <w:rFonts w:hint="eastAsia" w:ascii="仿宋" w:hAnsi="仿宋" w:eastAsia="仿宋"/>
                <w:bCs/>
                <w:sz w:val="24"/>
              </w:rPr>
            </w:pPr>
            <w:r>
              <w:rPr>
                <w:rFonts w:hint="eastAsia" w:ascii="仿宋" w:hAnsi="仿宋" w:eastAsia="仿宋"/>
                <w:bCs/>
                <w:sz w:val="24"/>
              </w:rPr>
              <w:t>本课程系统介绍集成电路制造与封测环节的核心装备，旨在帮助学生建立对集成电路装备体系的基础认知。课程内容涵盖前道制造设备（如光刻机、刻蚀机、薄膜沉积设备、离子注入机、清洗设备等）以及后道封测设备（如键合机、封装机、自动测试设备等）的工作原理、结构组成与发展趋势。通过结合产业发展历程与技术挑战，课程将重点分析关键装备在先进制程和先进封装中的应用，并介绍国内外市场格局与自主化进展。本课程可为后续从事集成电路相关领域工作如设备工程师、工艺工程师等奠定设备基础知识。</w:t>
            </w:r>
          </w:p>
          <w:p w14:paraId="4F230BFD">
            <w:pPr>
              <w:widowControl/>
              <w:rPr>
                <w:rFonts w:hint="eastAsia" w:ascii="仿宋" w:hAnsi="仿宋" w:eastAsia="仿宋"/>
                <w:b/>
                <w:sz w:val="24"/>
              </w:rPr>
            </w:pPr>
          </w:p>
        </w:tc>
      </w:tr>
      <w:tr w14:paraId="2500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jc w:val="center"/>
        </w:trPr>
        <w:tc>
          <w:tcPr>
            <w:tcW w:w="1696" w:type="dxa"/>
            <w:gridSpan w:val="2"/>
            <w:vMerge w:val="continue"/>
            <w:tcBorders/>
            <w:vAlign w:val="center"/>
          </w:tcPr>
          <w:p w14:paraId="3FA46997">
            <w:pPr>
              <w:widowControl/>
              <w:jc w:val="center"/>
              <w:rPr>
                <w:rFonts w:hint="eastAsia" w:ascii="仿宋" w:hAnsi="仿宋" w:eastAsia="仿宋"/>
                <w:bCs/>
                <w:sz w:val="24"/>
              </w:rPr>
            </w:pPr>
          </w:p>
        </w:tc>
        <w:tc>
          <w:tcPr>
            <w:tcW w:w="8080" w:type="dxa"/>
            <w:gridSpan w:val="7"/>
          </w:tcPr>
          <w:p w14:paraId="21739BF3">
            <w:pPr>
              <w:widowControl/>
              <w:rPr>
                <w:rFonts w:hint="eastAsia" w:ascii="仿宋" w:hAnsi="仿宋" w:eastAsia="仿宋"/>
                <w:b/>
                <w:sz w:val="24"/>
              </w:rPr>
            </w:pPr>
            <w:r>
              <w:rPr>
                <w:rFonts w:hint="eastAsia" w:ascii="仿宋" w:hAnsi="仿宋" w:eastAsia="仿宋"/>
                <w:b/>
                <w:sz w:val="24"/>
              </w:rPr>
              <w:t>课程3：电子封装材料与工艺</w:t>
            </w:r>
          </w:p>
          <w:p w14:paraId="6B3287CD">
            <w:pPr>
              <w:widowControl/>
              <w:spacing w:line="360" w:lineRule="auto"/>
              <w:rPr>
                <w:rFonts w:hint="eastAsia" w:ascii="仿宋" w:hAnsi="仿宋" w:eastAsia="仿宋"/>
                <w:b/>
                <w:sz w:val="24"/>
              </w:rPr>
            </w:pPr>
            <w:r>
              <w:rPr>
                <w:rFonts w:hint="eastAsia" w:ascii="仿宋" w:hAnsi="仿宋" w:eastAsia="仿宋"/>
                <w:bCs/>
                <w:sz w:val="24"/>
              </w:rPr>
              <w:t>本课程系统介绍集成电路封装工艺及其所涉及的关键材料，旨在帮助学生建立电子封装技术的完整知识体系。课程内容涵盖传统封装工艺（如引线键合、倒装焊）与先进封装技术（如晶圆级封装WLP、三维封装TSV、扇出型封装Fan-out、系统级封装SiP、芯粒集成Chiplets等），同时深入讲解封装中使用的各类材料，包括高分子封装材料、陶瓷基板、焊接材料（含无铅焊料）、引线框架材料、导电胶及底部填充材料等。课程结合产业发展趋势，重点分析先进封装技术在移动终端、高性能计算、人工智能等领域的应用，并介绍封装可靠性及失效分析方法。本课程适合微电子、材料科学与工程等相关专业本科生修读，为从事集成电路封装领域工作奠定材料与工艺基础。</w:t>
            </w:r>
          </w:p>
          <w:p w14:paraId="0C90AB1A">
            <w:pPr>
              <w:widowControl/>
              <w:rPr>
                <w:rFonts w:hint="eastAsia" w:ascii="仿宋" w:hAnsi="仿宋" w:eastAsia="仿宋"/>
                <w:b/>
                <w:sz w:val="24"/>
              </w:rPr>
            </w:pPr>
          </w:p>
        </w:tc>
      </w:tr>
      <w:tr w14:paraId="1FA3C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696" w:type="dxa"/>
            <w:gridSpan w:val="2"/>
            <w:vMerge w:val="continue"/>
            <w:tcBorders/>
            <w:vAlign w:val="center"/>
          </w:tcPr>
          <w:p w14:paraId="28D31C71">
            <w:pPr>
              <w:widowControl/>
              <w:jc w:val="center"/>
              <w:rPr>
                <w:rFonts w:hint="eastAsia" w:ascii="仿宋" w:hAnsi="仿宋" w:eastAsia="仿宋"/>
                <w:bCs/>
                <w:sz w:val="24"/>
              </w:rPr>
            </w:pPr>
          </w:p>
        </w:tc>
        <w:tc>
          <w:tcPr>
            <w:tcW w:w="8080" w:type="dxa"/>
            <w:gridSpan w:val="7"/>
          </w:tcPr>
          <w:p w14:paraId="45F6DD5D">
            <w:pPr>
              <w:widowControl/>
              <w:rPr>
                <w:rFonts w:hint="eastAsia" w:ascii="仿宋" w:hAnsi="仿宋" w:eastAsia="仿宋"/>
                <w:b/>
                <w:sz w:val="24"/>
              </w:rPr>
            </w:pPr>
            <w:r>
              <w:rPr>
                <w:rFonts w:hint="eastAsia" w:ascii="仿宋" w:hAnsi="仿宋" w:eastAsia="仿宋"/>
                <w:b/>
                <w:sz w:val="24"/>
              </w:rPr>
              <w:t>课程4：电子器件散热技术</w:t>
            </w:r>
          </w:p>
          <w:p w14:paraId="2A97091C">
            <w:pPr>
              <w:widowControl/>
              <w:spacing w:line="360" w:lineRule="auto"/>
              <w:rPr>
                <w:rFonts w:hint="eastAsia" w:ascii="仿宋" w:hAnsi="仿宋" w:eastAsia="仿宋"/>
                <w:bCs/>
                <w:sz w:val="24"/>
              </w:rPr>
            </w:pPr>
            <w:r>
              <w:rPr>
                <w:rFonts w:hint="eastAsia" w:ascii="仿宋" w:hAnsi="仿宋" w:eastAsia="仿宋"/>
                <w:bCs/>
                <w:sz w:val="24"/>
              </w:rPr>
              <w:t>本课程系统讲授电子器件热管理领域的核心技术与前沿方案，旨在帮助学生建立从传热基础到工程应用</w:t>
            </w:r>
            <w:bookmarkStart w:id="0" w:name="_GoBack"/>
            <w:bookmarkEnd w:id="0"/>
            <w:r>
              <w:rPr>
                <w:rFonts w:hint="eastAsia" w:ascii="仿宋" w:hAnsi="仿宋" w:eastAsia="仿宋"/>
                <w:bCs/>
                <w:sz w:val="24"/>
              </w:rPr>
              <w:t>的完整知识体系。课程内容涵盖被动散热技术（散热器、热管、均温板、导热界面材料）与主动散热技术（风冷系统、液冷系统），并重点介绍当前备受关注的前沿散热方案，包括微通道液冷、浸没式液冷、固态制冷以及相变散热技术等。课程将紧密围绕先进封装、AI芯片、功率半导体等高热流密度器件的散热挑战，深入分析散热器设计优化、液冷冷板流道设计、系统级热仿真与热测试方法。通过理论计算、仿真分析与工程案例相结合的教学方式，使学生掌握热阻网络建模、散热方案设计与性能评价的关键能力，为从事电子设备热管理相关研发工作奠定坚实基础。</w:t>
            </w:r>
          </w:p>
          <w:p w14:paraId="7F454638">
            <w:pPr>
              <w:widowControl/>
              <w:spacing w:line="360" w:lineRule="auto"/>
              <w:rPr>
                <w:rFonts w:hint="eastAsia" w:ascii="仿宋" w:hAnsi="仿宋" w:eastAsia="仿宋"/>
                <w:bCs/>
                <w:sz w:val="24"/>
              </w:rPr>
            </w:pPr>
          </w:p>
        </w:tc>
      </w:tr>
      <w:tr w14:paraId="38232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696" w:type="dxa"/>
            <w:gridSpan w:val="2"/>
            <w:vMerge w:val="continue"/>
            <w:tcBorders/>
            <w:vAlign w:val="center"/>
          </w:tcPr>
          <w:p w14:paraId="68B1CF1F">
            <w:pPr>
              <w:widowControl/>
              <w:jc w:val="center"/>
              <w:rPr>
                <w:rFonts w:hint="eastAsia" w:ascii="仿宋" w:hAnsi="仿宋" w:eastAsia="仿宋"/>
                <w:bCs/>
                <w:sz w:val="24"/>
              </w:rPr>
            </w:pPr>
          </w:p>
        </w:tc>
        <w:tc>
          <w:tcPr>
            <w:tcW w:w="8080" w:type="dxa"/>
            <w:gridSpan w:val="7"/>
          </w:tcPr>
          <w:p w14:paraId="0863CB35">
            <w:pPr>
              <w:widowControl/>
              <w:rPr>
                <w:rFonts w:hint="eastAsia" w:ascii="仿宋" w:hAnsi="仿宋" w:eastAsia="仿宋"/>
                <w:b/>
                <w:sz w:val="24"/>
              </w:rPr>
            </w:pPr>
            <w:r>
              <w:rPr>
                <w:rFonts w:hint="eastAsia" w:ascii="仿宋" w:hAnsi="仿宋" w:eastAsia="仿宋"/>
                <w:b/>
                <w:sz w:val="24"/>
              </w:rPr>
              <w:t>课程5：集成电路热设计与仿真</w:t>
            </w:r>
          </w:p>
          <w:p w14:paraId="777755CA">
            <w:pPr>
              <w:widowControl/>
              <w:spacing w:line="360" w:lineRule="auto"/>
              <w:rPr>
                <w:rFonts w:hint="eastAsia" w:ascii="仿宋" w:hAnsi="仿宋" w:eastAsia="仿宋"/>
                <w:bCs/>
                <w:sz w:val="24"/>
              </w:rPr>
            </w:pPr>
            <w:r>
              <w:rPr>
                <w:rFonts w:hint="eastAsia" w:ascii="仿宋" w:hAnsi="仿宋" w:eastAsia="仿宋"/>
                <w:bCs/>
                <w:sz w:val="24"/>
              </w:rPr>
              <w:t>本课程聚焦近年来发展迅速的2.5D/3D封装、Chiplet、HBM集成等先进封装技术所带来的热管理挑战，系统讲授先进封装热设计与热仿真的核心理论、方法与工程实践。课程内容涵盖先进封装热管理基础（高功率密度热源特性、多热源耦合机制、热路径分析）、热仿真建模技术（自适应网格划分、多物理场耦合建模、详细模型与降阶模型提取）、行业标准与测试验证（JEDEC JESD 51热阻测试规范、瞬态热测试方法、MIMO多热源测试技术）、主流仿真工具实践，以及系统级热优化策略（热源布局优化、双面冷却技术、热界面材料选型、液冷方案设计）。课程通过大量工程案例（GPU+HBM堆叠散热、AI加速器热管理等）与上机实操，培养学生解决先进封装热问题的工程能力，为从事高性能芯片封装热管理的研发工作奠定坚实基础。</w:t>
            </w:r>
          </w:p>
        </w:tc>
      </w:tr>
    </w:tbl>
    <w:p w14:paraId="3E972FC8"/>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529D30"/>
    <w:multiLevelType w:val="singleLevel"/>
    <w:tmpl w:val="1B529D30"/>
    <w:lvl w:ilvl="0" w:tentative="0">
      <w:start w:val="5"/>
      <w:numFmt w:val="chineseCounting"/>
      <w:suff w:val="nothing"/>
      <w:lvlText w:val="%1、"/>
      <w:lvlJc w:val="left"/>
      <w:rPr>
        <w:rFonts w:hint="eastAsia"/>
      </w:rPr>
    </w:lvl>
  </w:abstractNum>
  <w:abstractNum w:abstractNumId="1">
    <w:nsid w:val="7644C492"/>
    <w:multiLevelType w:val="singleLevel"/>
    <w:tmpl w:val="7644C492"/>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TrackMove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C59F9"/>
    <w:rsid w:val="00054EFE"/>
    <w:rsid w:val="00333C4D"/>
    <w:rsid w:val="00542C3E"/>
    <w:rsid w:val="005B6523"/>
    <w:rsid w:val="006C59F9"/>
    <w:rsid w:val="00733E03"/>
    <w:rsid w:val="00882C2D"/>
    <w:rsid w:val="008A603D"/>
    <w:rsid w:val="009418DE"/>
    <w:rsid w:val="00946433"/>
    <w:rsid w:val="00A434DF"/>
    <w:rsid w:val="00C92B50"/>
    <w:rsid w:val="00D225B4"/>
    <w:rsid w:val="00E3424F"/>
    <w:rsid w:val="00F37006"/>
    <w:rsid w:val="00F51211"/>
    <w:rsid w:val="00F67648"/>
    <w:rsid w:val="00FD0835"/>
    <w:rsid w:val="01FA725A"/>
    <w:rsid w:val="05D10C92"/>
    <w:rsid w:val="05F36332"/>
    <w:rsid w:val="09176263"/>
    <w:rsid w:val="09D65431"/>
    <w:rsid w:val="0A9C216F"/>
    <w:rsid w:val="0BF56037"/>
    <w:rsid w:val="0C883A03"/>
    <w:rsid w:val="14D507B4"/>
    <w:rsid w:val="14E66DDD"/>
    <w:rsid w:val="17964040"/>
    <w:rsid w:val="1A202D48"/>
    <w:rsid w:val="250005FC"/>
    <w:rsid w:val="2A5A37DD"/>
    <w:rsid w:val="2BB43033"/>
    <w:rsid w:val="2F0138CA"/>
    <w:rsid w:val="324A2389"/>
    <w:rsid w:val="34CB7A56"/>
    <w:rsid w:val="38253449"/>
    <w:rsid w:val="3AAF73C9"/>
    <w:rsid w:val="3EF223C8"/>
    <w:rsid w:val="425C7352"/>
    <w:rsid w:val="4BBD76FF"/>
    <w:rsid w:val="4EC05A55"/>
    <w:rsid w:val="5C3D2493"/>
    <w:rsid w:val="5E4C248A"/>
    <w:rsid w:val="62DB2A06"/>
    <w:rsid w:val="64AF2FD4"/>
    <w:rsid w:val="66BC45F1"/>
    <w:rsid w:val="718A0B0A"/>
    <w:rsid w:val="747848EA"/>
    <w:rsid w:val="7B7B0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320"/>
        <w:tab w:val="right" w:pos="8640"/>
      </w:tabs>
    </w:pPr>
  </w:style>
  <w:style w:type="paragraph" w:styleId="3">
    <w:name w:val="header"/>
    <w:basedOn w:val="1"/>
    <w:link w:val="9"/>
    <w:qFormat/>
    <w:uiPriority w:val="0"/>
    <w:pPr>
      <w:tabs>
        <w:tab w:val="center" w:pos="4320"/>
        <w:tab w:val="right" w:pos="8640"/>
      </w:tabs>
    </w:pPr>
  </w:style>
  <w:style w:type="paragraph" w:styleId="4">
    <w:name w:val="Normal (Web)"/>
    <w:basedOn w:val="1"/>
    <w:qFormat/>
    <w:uiPriority w:val="0"/>
    <w:pPr>
      <w:spacing w:before="100" w:beforeAutospacing="1" w:after="100" w:afterAutospacing="1"/>
      <w:jc w:val="left"/>
    </w:pPr>
    <w:rPr>
      <w:kern w:val="0"/>
      <w:sz w:val="24"/>
    </w:rPr>
  </w:style>
  <w:style w:type="character" w:styleId="7">
    <w:name w:val="Strong"/>
    <w:qFormat/>
    <w:uiPriority w:val="0"/>
    <w:rPr>
      <w:b/>
    </w:rPr>
  </w:style>
  <w:style w:type="character" w:styleId="8">
    <w:name w:val="Hyperlink"/>
    <w:qFormat/>
    <w:uiPriority w:val="0"/>
    <w:rPr>
      <w:color w:val="0000FF"/>
      <w:u w:val="single"/>
    </w:rPr>
  </w:style>
  <w:style w:type="character" w:customStyle="1" w:styleId="9">
    <w:name w:val="页眉 字符"/>
    <w:link w:val="3"/>
    <w:qFormat/>
    <w:uiPriority w:val="0"/>
    <w:rPr>
      <w:rFonts w:ascii="Calibri" w:hAnsi="Calibri"/>
      <w:kern w:val="2"/>
      <w:sz w:val="21"/>
      <w:szCs w:val="24"/>
    </w:rPr>
  </w:style>
  <w:style w:type="character" w:customStyle="1" w:styleId="10">
    <w:name w:val="页脚 字符"/>
    <w:link w:val="2"/>
    <w:qFormat/>
    <w:uiPriority w:val="0"/>
    <w:rPr>
      <w:rFonts w:ascii="Calibri" w:hAnsi="Calibri"/>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2801</Words>
  <Characters>2961</Characters>
  <Lines>100</Lines>
  <Paragraphs>98</Paragraphs>
  <TotalTime>18</TotalTime>
  <ScaleCrop>false</ScaleCrop>
  <LinksUpToDate>false</LinksUpToDate>
  <CharactersWithSpaces>2974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2026-06-06T05:31:00Z</dcterms:created>
  <dc:creator>HP</dc:creator>
  <cp:lastModifiedBy>头发乱了</cp:lastModifiedBy>
  <dcterms:modified xsi:type="dcterms:W3CDTF">2026-09-09T02:05:51Z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eyJoZGlkIjoiNDAwYmZjNGE1NWEzMmU1ZTQ0NWRjZDk4YzVkMGI3NzQiLCJ1c2VySWQiOiIyODQyNDUzOTkifQ==</vt:lpwstr>
  </property>
  <property fmtid="{D5CDD505-2E9C-101B-9397-08002B2CF9AE}" pid="4" name="ICV">
    <vt:lpwstr>C3E6D03531834A30ACDCDCA0A1DE70F8_12</vt:lpwstr>
  </property>
</Properties>
</file>