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1F40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0" w:line="240" w:lineRule="auto"/>
        <w:ind w:left="2013" w:right="2047" w:firstLine="91"/>
        <w:jc w:val="center"/>
        <w:textAlignment w:val="baseline"/>
        <w:outlineLvl w:val="0"/>
        <w:rPr>
          <w:rFonts w:hint="eastAsia" w:ascii="宋体" w:hAnsi="宋体" w:eastAsia="宋体" w:cs="宋体"/>
          <w:b/>
          <w:bCs/>
          <w:spacing w:val="5"/>
          <w:kern w:val="0"/>
          <w:sz w:val="35"/>
          <w:szCs w:val="35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5"/>
          <w:kern w:val="0"/>
          <w:sz w:val="35"/>
          <w:szCs w:val="35"/>
          <w:lang w:val="en-US" w:eastAsia="zh-CN"/>
        </w:rPr>
        <w:t>经济与管理学院</w:t>
      </w:r>
    </w:p>
    <w:p w14:paraId="6ABC671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0" w:line="240" w:lineRule="auto"/>
        <w:ind w:right="-51" w:rightChars="0"/>
        <w:jc w:val="center"/>
        <w:textAlignment w:val="baseline"/>
        <w:outlineLvl w:val="0"/>
        <w:rPr>
          <w:rFonts w:hint="eastAsia" w:ascii="宋体" w:hAnsi="宋体" w:eastAsia="宋体" w:cs="宋体"/>
          <w:b/>
          <w:bCs/>
          <w:spacing w:val="5"/>
          <w:kern w:val="0"/>
          <w:sz w:val="35"/>
          <w:szCs w:val="35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5"/>
          <w:kern w:val="0"/>
          <w:sz w:val="35"/>
          <w:szCs w:val="35"/>
          <w:lang w:val="en-US" w:eastAsia="zh-CN"/>
        </w:rPr>
        <w:t>2026级 数智文旅场景创新与实践</w:t>
      </w:r>
    </w:p>
    <w:p w14:paraId="60259B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0" w:line="240" w:lineRule="auto"/>
        <w:ind w:left="2013" w:right="2047" w:firstLine="91"/>
        <w:jc w:val="center"/>
        <w:textAlignment w:val="baseline"/>
        <w:outlineLvl w:val="0"/>
        <w:rPr>
          <w:rFonts w:hint="eastAsia" w:ascii="宋体" w:hAnsi="宋体" w:eastAsia="宋体" w:cs="宋体"/>
          <w:b/>
          <w:bCs/>
          <w:spacing w:val="5"/>
          <w:kern w:val="0"/>
          <w:sz w:val="35"/>
          <w:szCs w:val="35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5"/>
          <w:kern w:val="0"/>
          <w:sz w:val="35"/>
          <w:szCs w:val="35"/>
          <w:lang w:val="en-US" w:eastAsia="zh-CN"/>
        </w:rPr>
        <w:t>微专业招生简章</w:t>
      </w:r>
    </w:p>
    <w:p w14:paraId="023B3F7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0" w:line="240" w:lineRule="auto"/>
        <w:ind w:left="2013" w:right="2047" w:firstLine="91"/>
        <w:jc w:val="center"/>
        <w:textAlignment w:val="baseline"/>
        <w:outlineLvl w:val="0"/>
        <w:rPr>
          <w:rFonts w:hint="eastAsia" w:ascii="宋体" w:hAnsi="宋体" w:eastAsia="宋体" w:cs="宋体"/>
          <w:b/>
          <w:bCs/>
          <w:spacing w:val="5"/>
          <w:kern w:val="0"/>
          <w:sz w:val="35"/>
          <w:szCs w:val="35"/>
          <w:lang w:val="en-US" w:eastAsia="zh-CN"/>
        </w:rPr>
      </w:pPr>
    </w:p>
    <w:p w14:paraId="014B1689">
      <w:pPr>
        <w:keepNext w:val="0"/>
        <w:keepLines w:val="0"/>
        <w:pageBreakBefore w:val="0"/>
        <w:widowControl/>
        <w:numPr>
          <w:ilvl w:val="0"/>
          <w:numId w:val="0"/>
        </w:numPr>
        <w:wordWrap/>
        <w:overflowPunct/>
        <w:topLinePunct w:val="0"/>
        <w:bidi w:val="0"/>
        <w:spacing w:before="78" w:line="360" w:lineRule="auto"/>
        <w:ind w:left="27" w:leftChars="0"/>
        <w:jc w:val="left"/>
        <w:rPr>
          <w:rFonts w:hint="eastAsia" w:ascii="宋体" w:hAnsi="宋体" w:eastAsia="宋体" w:cs="宋体"/>
          <w:b/>
          <w:bCs/>
          <w:spacing w:val="-3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3"/>
          <w:kern w:val="0"/>
          <w:sz w:val="24"/>
          <w:szCs w:val="24"/>
          <w:lang w:val="en-US" w:eastAsia="zh-CN" w:bidi="ar-SA"/>
        </w:rPr>
        <w:t>一、</w:t>
      </w:r>
      <w:r>
        <w:rPr>
          <w:rFonts w:hint="eastAsia" w:ascii="宋体" w:hAnsi="宋体" w:eastAsia="宋体" w:cs="宋体"/>
          <w:b/>
          <w:bCs/>
          <w:spacing w:val="-3"/>
          <w:kern w:val="0"/>
          <w:sz w:val="24"/>
          <w:szCs w:val="24"/>
          <w:lang w:eastAsia="zh-CN"/>
        </w:rPr>
        <w:t>微专业简介</w:t>
      </w:r>
    </w:p>
    <w:p w14:paraId="666CAA6B">
      <w:pPr>
        <w:spacing w:before="78" w:line="360" w:lineRule="auto"/>
        <w:ind w:firstLine="469"/>
        <w:rPr>
          <w:rFonts w:hint="eastAsia" w:ascii="宋体" w:hAnsi="宋体" w:eastAsia="宋体" w:cs="宋体"/>
          <w:sz w:val="24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0"/>
          <w:lang w:val="en-US" w:eastAsia="zh-CN" w:bidi="ar"/>
        </w:rPr>
        <w:t>《数智文旅场景创新与实践》微专业主动适应数字中国战略及上海“世界著名旅游城市”建设需求，培养具备数智技术与文旅场景融合能力的复合型应用人才。</w:t>
      </w:r>
    </w:p>
    <w:p w14:paraId="1F91A285">
      <w:pPr>
        <w:spacing w:before="78" w:line="360" w:lineRule="auto"/>
        <w:ind w:firstLine="469"/>
        <w:rPr>
          <w:rFonts w:hint="eastAsia" w:ascii="宋体" w:hAnsi="宋体" w:eastAsia="宋体" w:cs="宋体"/>
          <w:sz w:val="24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0"/>
          <w:lang w:val="en-US" w:eastAsia="zh-CN" w:bidi="ar"/>
        </w:rPr>
        <w:t>课程体系涵盖数字文旅前沿案例、城市叙事与Citywalk策划、人工智能与非遗创意设计、红色资源调查与数字传承、大数据与消费行为洞察、邮轮文旅产品设计、文旅IP开发与运营，以及数智文旅项目实战等八大模块。学生将系统掌握文旅场景调研、数字内容生产、数据分析、IP运营与项目路演等核心技能。</w:t>
      </w:r>
    </w:p>
    <w:p w14:paraId="1AEE1887">
      <w:pPr>
        <w:spacing w:before="78" w:line="360" w:lineRule="auto"/>
        <w:ind w:firstLine="469"/>
        <w:rPr>
          <w:rFonts w:hint="eastAsia" w:ascii="宋体" w:hAnsi="宋体" w:eastAsia="宋体" w:cs="宋体"/>
          <w:sz w:val="24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0"/>
          <w:lang w:val="en-US" w:eastAsia="zh-CN" w:bidi="ar"/>
        </w:rPr>
        <w:t>专业依托上海丰富的文旅资源，引入真实课题与业界导师，突出“走进实景、动手实战”的教学特色。结业后可从事数智文旅策划、数字内容运营、文旅IP开发、邮轮产品设计等方向工作，成为文旅数字化浪潮中的实践型人才。</w:t>
      </w:r>
    </w:p>
    <w:p w14:paraId="5393FF5F">
      <w:pPr>
        <w:keepNext w:val="0"/>
        <w:keepLines w:val="0"/>
        <w:pageBreakBefore w:val="0"/>
        <w:widowControl/>
        <w:numPr>
          <w:ilvl w:val="0"/>
          <w:numId w:val="0"/>
        </w:numPr>
        <w:wordWrap/>
        <w:overflowPunct/>
        <w:topLinePunct w:val="0"/>
        <w:bidi w:val="0"/>
        <w:spacing w:before="78" w:line="360" w:lineRule="auto"/>
        <w:ind w:left="27" w:leftChars="0"/>
        <w:jc w:val="left"/>
        <w:rPr>
          <w:rFonts w:hint="eastAsia" w:ascii="宋体" w:hAnsi="宋体" w:eastAsia="宋体" w:cs="宋体"/>
          <w:b/>
          <w:bCs/>
          <w:spacing w:val="-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3"/>
          <w:kern w:val="0"/>
          <w:sz w:val="24"/>
          <w:szCs w:val="24"/>
          <w:lang w:val="en-US" w:eastAsia="zh-CN" w:bidi="ar-SA"/>
        </w:rPr>
        <w:t>二、</w:t>
      </w:r>
      <w:r>
        <w:rPr>
          <w:rFonts w:hint="eastAsia" w:ascii="宋体" w:hAnsi="宋体" w:eastAsia="宋体" w:cs="宋体"/>
          <w:b/>
          <w:bCs/>
          <w:spacing w:val="-3"/>
          <w:kern w:val="0"/>
          <w:sz w:val="24"/>
          <w:szCs w:val="24"/>
          <w:lang w:val="en-US" w:eastAsia="zh-CN"/>
        </w:rPr>
        <w:t>培养目标</w:t>
      </w:r>
    </w:p>
    <w:p w14:paraId="4C16A93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71"/>
        <w:textAlignment w:val="baseline"/>
        <w:rPr>
          <w:rFonts w:hint="eastAsia" w:ascii="宋体" w:hAnsi="宋体" w:eastAsia="宋体" w:cs="宋体"/>
          <w:sz w:val="24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0"/>
          <w:lang w:val="en-US" w:eastAsia="zh-CN" w:bidi="ar"/>
        </w:rPr>
        <w:t>本专业以服务上海建设“世界著名旅游城市”和国际文化大都市战略为引领，面向文旅深度融合与数字化转型发展需求，培养具有创新意识、实践能力和跨界思维的复合型应用人才。学生将系统掌握数字文旅基础理论、场景策划方法、数字内容生产与运营技能，具备在上海数字化景区、文旅展会、二次元活动、红色场馆、邮轮文旅等场景中开展调查研究、创意策划、数据分析与项目运营的能力，能够在文旅及相关领域从事产品策划、内容运营、数字营销等工作的应用型复合人才。</w:t>
      </w:r>
    </w:p>
    <w:p w14:paraId="036165D8">
      <w:pPr>
        <w:keepNext w:val="0"/>
        <w:keepLines w:val="0"/>
        <w:pageBreakBefore w:val="0"/>
        <w:widowControl/>
        <w:numPr>
          <w:ilvl w:val="0"/>
          <w:numId w:val="0"/>
        </w:numPr>
        <w:wordWrap/>
        <w:overflowPunct/>
        <w:topLinePunct w:val="0"/>
        <w:bidi w:val="0"/>
        <w:spacing w:before="78" w:line="360" w:lineRule="auto"/>
        <w:ind w:left="27" w:leftChars="0"/>
        <w:jc w:val="left"/>
        <w:rPr>
          <w:rFonts w:hint="eastAsia" w:ascii="宋体" w:hAnsi="宋体" w:eastAsia="宋体" w:cs="宋体"/>
          <w:b/>
          <w:bCs/>
          <w:spacing w:val="-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3"/>
          <w:kern w:val="0"/>
          <w:sz w:val="24"/>
          <w:szCs w:val="24"/>
          <w:lang w:val="en-US" w:eastAsia="zh-CN" w:bidi="ar-SA"/>
        </w:rPr>
        <w:t>三、</w:t>
      </w:r>
      <w:r>
        <w:rPr>
          <w:rFonts w:hint="eastAsia" w:ascii="宋体" w:hAnsi="宋体" w:eastAsia="宋体" w:cs="宋体"/>
          <w:b/>
          <w:bCs/>
          <w:spacing w:val="-3"/>
          <w:kern w:val="0"/>
          <w:sz w:val="24"/>
          <w:szCs w:val="24"/>
          <w:lang w:val="en-US" w:eastAsia="zh-CN"/>
        </w:rPr>
        <w:t>培养要求</w:t>
      </w:r>
    </w:p>
    <w:p w14:paraId="10F1AA67">
      <w:pPr>
        <w:pStyle w:val="8"/>
        <w:adjustRightInd w:val="0"/>
        <w:snapToGrid w:val="0"/>
        <w:spacing w:line="360" w:lineRule="auto"/>
        <w:ind w:left="0" w:firstLine="480" w:firstLineChars="200"/>
        <w:rPr>
          <w:rFonts w:hint="eastAsia" w:ascii="宋体" w:hAnsi="宋体" w:eastAsia="宋体" w:cs="宋体"/>
          <w:sz w:val="24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0"/>
          <w:lang w:val="en-US" w:eastAsia="zh-CN" w:bidi="ar"/>
        </w:rPr>
        <w:t>本专业依托上海丰富的文旅资源与数字化转型先发优势，培养学生掌握数字文旅场景策划与运营的系统知识，具备在真实文旅场景中发现问题、定义问题、解决问题的能力。结业后，学生将具备以下能力：文旅场景调研与消费行为洞察、生成式AI内容创意设计、非遗与红色资源数字转化、文旅IP开发与运营、邮轮文旅产品策划、大数据基础分析、全媒体内容运营与项目路演实战，提升学生在数智文旅领域的综合实战素养。</w:t>
      </w:r>
    </w:p>
    <w:p w14:paraId="34C08A9D">
      <w:pPr>
        <w:pStyle w:val="8"/>
        <w:adjustRightInd w:val="0"/>
        <w:snapToGrid w:val="0"/>
        <w:spacing w:line="360" w:lineRule="auto"/>
        <w:ind w:left="0" w:firstLine="480" w:firstLineChars="200"/>
        <w:rPr>
          <w:rFonts w:hint="eastAsia" w:ascii="宋体" w:hAnsi="宋体" w:eastAsia="宋体" w:cs="宋体"/>
          <w:sz w:val="24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0"/>
          <w:lang w:val="en-US" w:eastAsia="zh-CN" w:bidi="ar"/>
        </w:rPr>
        <w:t>1．思想政治和德育要求</w:t>
      </w:r>
    </w:p>
    <w:p w14:paraId="374D6232">
      <w:pPr>
        <w:pStyle w:val="8"/>
        <w:adjustRightInd w:val="0"/>
        <w:snapToGrid w:val="0"/>
        <w:spacing w:line="360" w:lineRule="auto"/>
        <w:ind w:left="0" w:firstLine="480" w:firstLineChars="200"/>
        <w:rPr>
          <w:rFonts w:hint="eastAsia" w:ascii="宋体" w:hAnsi="宋体" w:eastAsia="宋体" w:cs="宋体"/>
          <w:sz w:val="24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0"/>
          <w:lang w:val="en-US" w:eastAsia="zh-CN" w:bidi="ar"/>
        </w:rPr>
        <w:t>具备良好的道德素养、人文素养和数字素养。具备较高的文化自信与红色文化传承意识，理解和尊重多元文化，具备文旅行业所需的诚信意识、信息安全与数据伦理素养。具有服务上海国际文化大都市建设的使命感与可持续发展理念。</w:t>
      </w:r>
    </w:p>
    <w:p w14:paraId="1D55A07D">
      <w:pPr>
        <w:pStyle w:val="8"/>
        <w:adjustRightInd w:val="0"/>
        <w:snapToGrid w:val="0"/>
        <w:spacing w:line="360" w:lineRule="auto"/>
        <w:ind w:left="0" w:firstLine="480" w:firstLineChars="200"/>
        <w:rPr>
          <w:rFonts w:hint="eastAsia" w:ascii="宋体" w:hAnsi="宋体" w:eastAsia="宋体" w:cs="宋体"/>
          <w:sz w:val="24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0"/>
          <w:lang w:val="en-US" w:eastAsia="zh-CN" w:bidi="ar"/>
        </w:rPr>
        <w:t>2．知识要求</w:t>
      </w:r>
    </w:p>
    <w:p w14:paraId="38A6ECCD">
      <w:pPr>
        <w:pStyle w:val="8"/>
        <w:adjustRightInd w:val="0"/>
        <w:snapToGrid w:val="0"/>
        <w:spacing w:line="360" w:lineRule="auto"/>
        <w:ind w:left="0" w:firstLine="480" w:firstLineChars="200"/>
        <w:rPr>
          <w:rFonts w:hint="eastAsia" w:ascii="宋体" w:hAnsi="宋体" w:eastAsia="宋体" w:cs="宋体"/>
          <w:sz w:val="24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0"/>
          <w:lang w:val="en-US" w:eastAsia="zh-CN" w:bidi="ar"/>
        </w:rPr>
        <w:t>了解当前数智技术在文旅产业中的应用趋势与发展动态，掌握文旅场景策划、文化叙事表达、IP开发运营、消费行为分析、邮轮产品设计等核心理论与方法，能够将数字技术与文旅场景深度融合，解决实际问题。</w:t>
      </w:r>
    </w:p>
    <w:p w14:paraId="53C2B55D">
      <w:pPr>
        <w:pStyle w:val="8"/>
        <w:adjustRightInd w:val="0"/>
        <w:snapToGrid w:val="0"/>
        <w:spacing w:line="360" w:lineRule="auto"/>
        <w:ind w:left="0" w:firstLine="480" w:firstLineChars="200"/>
        <w:rPr>
          <w:rFonts w:hint="eastAsia" w:ascii="宋体" w:hAnsi="宋体" w:eastAsia="宋体" w:cs="宋体"/>
          <w:sz w:val="24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0"/>
          <w:lang w:val="en-US" w:eastAsia="zh-CN" w:bidi="ar"/>
        </w:rPr>
        <w:t>3．能力要求</w:t>
      </w:r>
    </w:p>
    <w:p w14:paraId="7D91CC70">
      <w:pPr>
        <w:pStyle w:val="8"/>
        <w:adjustRightInd w:val="0"/>
        <w:snapToGrid w:val="0"/>
        <w:spacing w:line="360" w:lineRule="auto"/>
        <w:ind w:left="0" w:firstLine="480" w:firstLineChars="200"/>
        <w:rPr>
          <w:rFonts w:hint="eastAsia" w:ascii="宋体" w:hAnsi="宋体" w:eastAsia="宋体" w:cs="宋体"/>
          <w:sz w:val="24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0"/>
          <w:lang w:val="en-US" w:eastAsia="zh-CN" w:bidi="ar"/>
        </w:rPr>
        <w:t>具备良好的沟通表达与团队协作能力。具备跨专业自主学习和快速整合知识的能力。具备将文化资源转化为数字内容与创意方案的能力。初步具备基于多源数据开展消费洞察与运营决策的能力，以及基于数智工具的文旅项目创意、策划与落地执行能力。</w:t>
      </w:r>
    </w:p>
    <w:p w14:paraId="5F667901">
      <w:pPr>
        <w:pStyle w:val="8"/>
        <w:adjustRightInd w:val="0"/>
        <w:snapToGrid w:val="0"/>
        <w:spacing w:line="360" w:lineRule="auto"/>
        <w:ind w:left="0" w:firstLine="480" w:firstLineChars="200"/>
        <w:rPr>
          <w:rFonts w:hint="eastAsia" w:ascii="宋体" w:hAnsi="宋体" w:eastAsia="宋体" w:cs="宋体"/>
          <w:sz w:val="24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0"/>
          <w:lang w:val="en-US" w:eastAsia="zh-CN" w:bidi="ar"/>
        </w:rPr>
        <w:t>4．服务面向</w:t>
      </w:r>
    </w:p>
    <w:p w14:paraId="61974660">
      <w:pPr>
        <w:pStyle w:val="8"/>
        <w:adjustRightInd w:val="0"/>
        <w:snapToGrid w:val="0"/>
        <w:spacing w:line="360" w:lineRule="auto"/>
        <w:ind w:left="0" w:firstLine="480" w:firstLineChars="200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0"/>
          <w:lang w:val="en-US" w:eastAsia="zh-CN" w:bidi="ar"/>
        </w:rPr>
        <w:t>面向对文旅数字化有浓厚兴趣，有意向从事数智文旅场景策划、数字内容运营、文旅IP开发、邮轮产品设计、文旅数据分析等方向的应用型专业技术和管理人才。</w:t>
      </w:r>
    </w:p>
    <w:p w14:paraId="13B2C7E7">
      <w:pPr>
        <w:keepNext w:val="0"/>
        <w:keepLines w:val="0"/>
        <w:pageBreakBefore w:val="0"/>
        <w:widowControl/>
        <w:numPr>
          <w:ilvl w:val="0"/>
          <w:numId w:val="0"/>
        </w:numPr>
        <w:wordWrap/>
        <w:overflowPunct/>
        <w:topLinePunct w:val="0"/>
        <w:bidi w:val="0"/>
        <w:spacing w:before="78" w:line="360" w:lineRule="auto"/>
        <w:ind w:left="27" w:leftChars="0"/>
        <w:jc w:val="left"/>
        <w:rPr>
          <w:rFonts w:hint="eastAsia" w:ascii="宋体" w:hAnsi="宋体" w:eastAsia="宋体" w:cs="宋体"/>
          <w:b/>
          <w:bCs/>
          <w:spacing w:val="-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3"/>
          <w:kern w:val="0"/>
          <w:sz w:val="24"/>
          <w:szCs w:val="24"/>
          <w:lang w:val="en-US" w:eastAsia="zh-CN" w:bidi="ar-SA"/>
        </w:rPr>
        <w:t>四、</w:t>
      </w:r>
      <w:r>
        <w:rPr>
          <w:rFonts w:hint="eastAsia" w:ascii="宋体" w:hAnsi="宋体" w:eastAsia="宋体" w:cs="宋体"/>
          <w:b/>
          <w:bCs/>
          <w:spacing w:val="-3"/>
          <w:kern w:val="0"/>
          <w:sz w:val="24"/>
          <w:szCs w:val="24"/>
          <w:lang w:val="en-US" w:eastAsia="zh-CN"/>
        </w:rPr>
        <w:t>招生对象及条件</w:t>
      </w:r>
    </w:p>
    <w:p w14:paraId="57EC30A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2" w:firstLineChars="200"/>
        <w:textAlignment w:val="baseline"/>
        <w:rPr>
          <w:rFonts w:hint="eastAsia" w:ascii="宋体" w:hAnsi="宋体" w:eastAsia="宋体" w:cs="宋体"/>
          <w:sz w:val="24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24"/>
          <w:szCs w:val="20"/>
          <w:lang w:val="en-US" w:eastAsia="zh-CN" w:bidi="ar"/>
        </w:rPr>
        <w:t>招生对象：</w:t>
      </w:r>
      <w:r>
        <w:rPr>
          <w:rFonts w:hint="eastAsia" w:ascii="宋体" w:hAnsi="宋体" w:eastAsia="宋体" w:cs="宋体"/>
          <w:sz w:val="24"/>
          <w:szCs w:val="20"/>
          <w:lang w:val="en-US" w:eastAsia="zh-CN" w:bidi="ar"/>
        </w:rPr>
        <w:t>本校在籍本科生，专业不限，对前置课程无要求。</w:t>
      </w:r>
    </w:p>
    <w:p w14:paraId="5B46AC0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2" w:firstLineChars="200"/>
        <w:textAlignment w:val="baseline"/>
        <w:rPr>
          <w:rFonts w:hint="eastAsia" w:ascii="宋体" w:hAnsi="宋体" w:eastAsia="宋体" w:cs="宋体"/>
          <w:sz w:val="24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24"/>
          <w:szCs w:val="20"/>
          <w:lang w:val="en-US" w:eastAsia="zh-CN" w:bidi="ar"/>
        </w:rPr>
        <w:t>申请就读条件：</w:t>
      </w:r>
      <w:r>
        <w:rPr>
          <w:rFonts w:hint="eastAsia" w:ascii="宋体" w:hAnsi="宋体" w:eastAsia="宋体" w:cs="宋体"/>
          <w:sz w:val="24"/>
          <w:szCs w:val="20"/>
          <w:lang w:val="en-US" w:eastAsia="zh-CN" w:bidi="ar"/>
        </w:rPr>
        <w:t>主修专业已经修读的课程平均学分绩点在2.0（含）以上，补考或重修后无不及格课程。对《数智文旅场景创新与实践》微专业感兴趣，具有良好的英语听说读写能力，成绩优良，综合能力强。</w:t>
      </w:r>
    </w:p>
    <w:p w14:paraId="51A0E11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2" w:firstLineChars="200"/>
        <w:textAlignment w:val="baseline"/>
        <w:rPr>
          <w:rFonts w:hint="eastAsia" w:ascii="宋体" w:hAnsi="宋体" w:eastAsia="宋体" w:cs="宋体"/>
          <w:sz w:val="24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24"/>
          <w:szCs w:val="20"/>
          <w:lang w:val="en-US" w:eastAsia="zh-CN" w:bidi="ar"/>
        </w:rPr>
        <w:t>招生人数：2</w:t>
      </w:r>
      <w:r>
        <w:rPr>
          <w:rFonts w:hint="eastAsia" w:ascii="宋体" w:hAnsi="宋体" w:eastAsia="宋体" w:cs="宋体"/>
          <w:sz w:val="24"/>
          <w:szCs w:val="20"/>
          <w:lang w:val="en-US" w:eastAsia="zh-CN" w:bidi="ar"/>
        </w:rPr>
        <w:t>0人以上开班</w:t>
      </w:r>
      <w:r>
        <w:rPr>
          <w:rFonts w:hint="eastAsia" w:ascii="宋体" w:hAnsi="宋体" w:eastAsia="宋体" w:cs="宋体"/>
          <w:color w:val="000000" w:themeColor="text1"/>
          <w:spacing w:val="-3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auto"/>
          <w:spacing w:val="-3"/>
          <w:sz w:val="24"/>
          <w:szCs w:val="24"/>
          <w:lang w:eastAsia="zh-CN"/>
        </w:rPr>
        <w:t>计划招生人数</w:t>
      </w:r>
      <w:r>
        <w:rPr>
          <w:rFonts w:hint="eastAsia" w:ascii="宋体" w:hAnsi="宋体" w:eastAsia="宋体" w:cs="宋体"/>
          <w:color w:val="auto"/>
          <w:spacing w:val="-3"/>
          <w:sz w:val="24"/>
          <w:szCs w:val="24"/>
          <w:lang w:val="en-US" w:eastAsia="zh-CN"/>
        </w:rPr>
        <w:t>30</w:t>
      </w:r>
      <w:r>
        <w:rPr>
          <w:rFonts w:hint="eastAsia" w:ascii="宋体" w:hAnsi="宋体" w:eastAsia="宋体" w:cs="宋体"/>
          <w:color w:val="auto"/>
          <w:spacing w:val="-3"/>
          <w:sz w:val="24"/>
          <w:szCs w:val="24"/>
          <w:lang w:eastAsia="zh-CN"/>
        </w:rPr>
        <w:t>人。</w:t>
      </w:r>
    </w:p>
    <w:p w14:paraId="5CD4A6AD">
      <w:pPr>
        <w:keepNext w:val="0"/>
        <w:keepLines w:val="0"/>
        <w:pageBreakBefore w:val="0"/>
        <w:widowControl/>
        <w:numPr>
          <w:ilvl w:val="0"/>
          <w:numId w:val="0"/>
        </w:numPr>
        <w:wordWrap/>
        <w:overflowPunct/>
        <w:topLinePunct w:val="0"/>
        <w:bidi w:val="0"/>
        <w:spacing w:before="78" w:line="360" w:lineRule="auto"/>
        <w:ind w:left="27" w:leftChars="0"/>
        <w:jc w:val="left"/>
        <w:rPr>
          <w:rFonts w:hint="eastAsia" w:ascii="宋体" w:hAnsi="宋体" w:eastAsia="宋体" w:cs="宋体"/>
          <w:b/>
          <w:bCs/>
          <w:spacing w:val="-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3"/>
          <w:kern w:val="0"/>
          <w:sz w:val="24"/>
          <w:szCs w:val="24"/>
          <w:lang w:val="en-US" w:eastAsia="zh-CN" w:bidi="ar-SA"/>
        </w:rPr>
        <w:t>五、</w:t>
      </w:r>
      <w:r>
        <w:rPr>
          <w:rFonts w:hint="eastAsia" w:ascii="宋体" w:hAnsi="宋体" w:eastAsia="宋体" w:cs="宋体"/>
          <w:b/>
          <w:bCs/>
          <w:spacing w:val="-3"/>
          <w:kern w:val="0"/>
          <w:sz w:val="24"/>
          <w:szCs w:val="24"/>
          <w:lang w:val="en-US" w:eastAsia="zh-CN"/>
        </w:rPr>
        <w:t>学制及证书授予</w:t>
      </w:r>
    </w:p>
    <w:p w14:paraId="6086B1C6"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78" w:line="360" w:lineRule="auto"/>
        <w:ind w:firstLine="469"/>
        <w:rPr>
          <w:rFonts w:hint="eastAsia" w:ascii="宋体" w:hAnsi="宋体" w:eastAsia="宋体" w:cs="宋体"/>
          <w:b/>
          <w:bCs/>
          <w:color w:val="000000" w:themeColor="text1"/>
          <w:spacing w:val="-3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pacing w:val="-3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1年</w:t>
      </w:r>
      <w:r>
        <w:rPr>
          <w:rFonts w:hint="eastAsia" w:ascii="宋体" w:hAnsi="宋体" w:eastAsia="宋体" w:cs="宋体"/>
          <w:b/>
          <w:bCs/>
          <w:color w:val="000000" w:themeColor="text1"/>
          <w:spacing w:val="-3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学制</w:t>
      </w:r>
    </w:p>
    <w:p w14:paraId="0FA44EE7"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78" w:line="360" w:lineRule="auto"/>
        <w:ind w:firstLine="469"/>
        <w:rPr>
          <w:rFonts w:ascii="宋体" w:hAnsi="宋体" w:eastAsia="宋体" w:cs="宋体"/>
          <w:color w:val="000000" w:themeColor="text1"/>
          <w:spacing w:val="-3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-3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微专业</w:t>
      </w:r>
      <w:r>
        <w:rPr>
          <w:rFonts w:ascii="宋体" w:hAnsi="宋体" w:eastAsia="宋体" w:cs="宋体"/>
          <w:color w:val="000000" w:themeColor="text1"/>
          <w:spacing w:val="-3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成绩单独管理，不计入主修专业成绩单。学生在本科毕业或结业离校前，修完微专业培养方案规定的课程，且成绩全部合格的，予以颁发</w:t>
      </w:r>
      <w:r>
        <w:rPr>
          <w:rFonts w:hint="eastAsia" w:ascii="宋体" w:hAnsi="宋体" w:eastAsia="宋体" w:cs="宋体"/>
          <w:color w:val="000000" w:themeColor="text1"/>
          <w:spacing w:val="-3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“数智文旅场景创新与实践”</w:t>
      </w:r>
      <w:r>
        <w:rPr>
          <w:rFonts w:ascii="宋体" w:hAnsi="宋体" w:eastAsia="宋体" w:cs="宋体"/>
          <w:color w:val="000000" w:themeColor="text1"/>
          <w:spacing w:val="-3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微专业结业证书。</w:t>
      </w:r>
    </w:p>
    <w:p w14:paraId="24E94B12">
      <w:pPr>
        <w:keepNext w:val="0"/>
        <w:keepLines w:val="0"/>
        <w:pageBreakBefore w:val="0"/>
        <w:widowControl/>
        <w:numPr>
          <w:ilvl w:val="0"/>
          <w:numId w:val="0"/>
        </w:numPr>
        <w:wordWrap/>
        <w:overflowPunct/>
        <w:topLinePunct w:val="0"/>
        <w:bidi w:val="0"/>
        <w:spacing w:before="78" w:line="360" w:lineRule="auto"/>
        <w:ind w:left="27" w:leftChars="0"/>
        <w:jc w:val="left"/>
        <w:rPr>
          <w:rFonts w:hint="eastAsia" w:ascii="宋体" w:hAnsi="宋体" w:eastAsia="宋体" w:cs="宋体"/>
          <w:b/>
          <w:bCs/>
          <w:spacing w:val="-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3"/>
          <w:kern w:val="0"/>
          <w:sz w:val="24"/>
          <w:szCs w:val="24"/>
          <w:lang w:val="en-US" w:eastAsia="zh-CN" w:bidi="ar-SA"/>
        </w:rPr>
        <w:t>六、</w:t>
      </w:r>
      <w:r>
        <w:rPr>
          <w:rFonts w:hint="eastAsia" w:ascii="宋体" w:hAnsi="宋体" w:eastAsia="宋体" w:cs="宋体"/>
          <w:b/>
          <w:bCs/>
          <w:spacing w:val="-3"/>
          <w:kern w:val="0"/>
          <w:sz w:val="24"/>
          <w:szCs w:val="24"/>
          <w:lang w:val="en-US" w:eastAsia="zh-CN"/>
        </w:rPr>
        <w:t>学费</w:t>
      </w:r>
    </w:p>
    <w:p w14:paraId="4F9D8A1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60" w:firstLineChars="200"/>
        <w:textAlignment w:val="baseline"/>
        <w:outlineLvl w:val="1"/>
        <w:rPr>
          <w:rFonts w:ascii="宋体" w:hAnsi="宋体" w:eastAsia="宋体" w:cs="宋体"/>
          <w:b/>
          <w:bCs/>
          <w:spacing w:val="-5"/>
          <w:sz w:val="24"/>
          <w:szCs w:val="24"/>
        </w:rPr>
      </w:pPr>
      <w:r>
        <w:rPr>
          <w:rFonts w:ascii="宋体" w:hAnsi="宋体" w:eastAsia="宋体" w:cs="宋体"/>
          <w:b w:val="0"/>
          <w:bCs w:val="0"/>
          <w:spacing w:val="-5"/>
          <w:sz w:val="24"/>
          <w:szCs w:val="24"/>
        </w:rPr>
        <w:t>微专业收费按照我校相关规定</w:t>
      </w: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  <w:lang w:eastAsia="zh-CN"/>
        </w:rPr>
        <w:t>。</w:t>
      </w:r>
    </w:p>
    <w:p w14:paraId="3D534FD0">
      <w:pPr>
        <w:keepNext w:val="0"/>
        <w:keepLines w:val="0"/>
        <w:pageBreakBefore w:val="0"/>
        <w:widowControl/>
        <w:numPr>
          <w:ilvl w:val="0"/>
          <w:numId w:val="0"/>
        </w:numPr>
        <w:wordWrap/>
        <w:overflowPunct/>
        <w:topLinePunct w:val="0"/>
        <w:bidi w:val="0"/>
        <w:spacing w:before="78" w:line="360" w:lineRule="auto"/>
        <w:ind w:left="27" w:leftChars="0"/>
        <w:jc w:val="left"/>
        <w:rPr>
          <w:rFonts w:hint="eastAsia" w:ascii="宋体" w:hAnsi="宋体" w:eastAsia="宋体" w:cs="宋体"/>
          <w:b/>
          <w:bCs/>
          <w:spacing w:val="-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3"/>
          <w:kern w:val="0"/>
          <w:sz w:val="24"/>
          <w:szCs w:val="24"/>
          <w:lang w:val="en-US" w:eastAsia="zh-CN" w:bidi="ar-SA"/>
        </w:rPr>
        <w:t>七、</w:t>
      </w:r>
      <w:r>
        <w:rPr>
          <w:rFonts w:hint="eastAsia" w:ascii="宋体" w:hAnsi="宋体" w:eastAsia="宋体" w:cs="宋体"/>
          <w:b/>
          <w:bCs/>
          <w:spacing w:val="-3"/>
          <w:kern w:val="0"/>
          <w:sz w:val="24"/>
          <w:szCs w:val="24"/>
          <w:lang w:val="en-US" w:eastAsia="zh-CN"/>
        </w:rPr>
        <w:t>报名及咨询</w:t>
      </w:r>
    </w:p>
    <w:p w14:paraId="58DD7E4F"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85" w:line="360" w:lineRule="auto"/>
        <w:ind w:left="514"/>
        <w:outlineLvl w:val="1"/>
        <w:rPr>
          <w:rFonts w:hint="default" w:ascii="宋体" w:hAnsi="宋体" w:eastAsia="宋体" w:cs="宋体"/>
          <w:b w:val="0"/>
          <w:bCs w:val="0"/>
          <w:spacing w:val="-5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5"/>
          <w:sz w:val="24"/>
          <w:szCs w:val="24"/>
          <w:lang w:val="en-US" w:eastAsia="zh-CN"/>
        </w:rPr>
        <w:t>报名网址及二维码：</w:t>
      </w: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spacing w:val="-5"/>
          <w:sz w:val="24"/>
          <w:szCs w:val="24"/>
          <w:lang w:val="en-US" w:eastAsia="zh-CN"/>
        </w:rPr>
        <w:t>https://v.wjx.cn/vm/Y2FgLSE.aspx#</w:t>
      </w:r>
    </w:p>
    <w:p w14:paraId="5CF41892"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85" w:line="360" w:lineRule="auto"/>
        <w:ind w:left="514"/>
        <w:outlineLvl w:val="1"/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  <w:lang w:val="en-US" w:eastAsia="zh-CN"/>
        </w:rPr>
        <w:drawing>
          <wp:inline distT="0" distB="0" distL="114300" distR="114300">
            <wp:extent cx="1551940" cy="1551940"/>
            <wp:effectExtent l="0" t="0" r="2540" b="2540"/>
            <wp:docPr id="1" name="图片 1" descr="f36479edf9787ce7a4506e12ef7736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36479edf9787ce7a4506e12ef77367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51940" cy="155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902B6">
      <w:pPr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5" w:line="360" w:lineRule="auto"/>
        <w:ind w:left="514"/>
        <w:textAlignment w:val="baseline"/>
        <w:outlineLvl w:val="1"/>
        <w:rPr>
          <w:rFonts w:hint="default" w:ascii="宋体" w:hAnsi="宋体" w:eastAsia="宋体" w:cs="宋体"/>
          <w:spacing w:val="-5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5"/>
          <w:sz w:val="24"/>
          <w:szCs w:val="24"/>
          <w:lang w:eastAsia="zh-CN"/>
        </w:rPr>
        <w:t>联系人</w:t>
      </w: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：</w:t>
      </w:r>
      <w:r>
        <w:rPr>
          <w:rFonts w:hint="eastAsia" w:ascii="宋体" w:hAnsi="宋体" w:eastAsia="宋体" w:cs="宋体"/>
          <w:spacing w:val="-5"/>
          <w:sz w:val="24"/>
          <w:szCs w:val="24"/>
          <w:lang w:val="en-US" w:eastAsia="zh-CN"/>
        </w:rPr>
        <w:t>李盈，徐爱萍</w:t>
      </w:r>
    </w:p>
    <w:p w14:paraId="43BCCC70">
      <w:pPr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5" w:line="360" w:lineRule="auto"/>
        <w:ind w:left="514"/>
        <w:textAlignment w:val="baseline"/>
        <w:outlineLvl w:val="1"/>
        <w:rPr>
          <w:rFonts w:hint="default" w:ascii="宋体" w:hAnsi="宋体" w:eastAsia="宋体" w:cs="宋体"/>
          <w:b w:val="0"/>
          <w:bCs w:val="0"/>
          <w:spacing w:val="-5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5"/>
          <w:sz w:val="24"/>
          <w:szCs w:val="24"/>
          <w:lang w:val="en-US" w:eastAsia="zh-CN"/>
        </w:rPr>
        <w:t>联系邮箱：</w:t>
      </w: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  <w:lang w:val="en-US" w:eastAsia="zh-CN"/>
        </w:rPr>
        <w:t>liy@sspu.edu.cn,apxu@sspu.edu.cn</w:t>
      </w:r>
    </w:p>
    <w:p w14:paraId="62B11FFC">
      <w:pPr>
        <w:keepNext w:val="0"/>
        <w:keepLines w:val="0"/>
        <w:pageBreakBefore w:val="0"/>
        <w:widowControl/>
        <w:numPr>
          <w:ilvl w:val="0"/>
          <w:numId w:val="0"/>
        </w:numPr>
        <w:wordWrap/>
        <w:overflowPunct/>
        <w:topLinePunct w:val="0"/>
        <w:bidi w:val="0"/>
        <w:spacing w:before="78" w:line="360" w:lineRule="auto"/>
        <w:ind w:left="27" w:leftChars="0"/>
        <w:jc w:val="left"/>
        <w:rPr>
          <w:rFonts w:hint="eastAsia" w:ascii="宋体" w:hAnsi="宋体" w:eastAsia="宋体" w:cs="宋体"/>
          <w:b/>
          <w:bCs/>
          <w:spacing w:val="-3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3"/>
          <w:kern w:val="0"/>
          <w:sz w:val="24"/>
          <w:szCs w:val="24"/>
          <w:lang w:val="en-US" w:eastAsia="zh-CN" w:bidi="ar-SA"/>
        </w:rPr>
        <w:t>八、</w:t>
      </w:r>
      <w:r>
        <w:rPr>
          <w:rFonts w:hint="eastAsia" w:ascii="宋体" w:hAnsi="宋体" w:eastAsia="宋体" w:cs="宋体"/>
          <w:b/>
          <w:bCs/>
          <w:spacing w:val="-3"/>
          <w:kern w:val="0"/>
          <w:sz w:val="24"/>
          <w:szCs w:val="24"/>
          <w:lang w:val="en-US" w:eastAsia="zh-CN"/>
        </w:rPr>
        <w:t>教学计划与课程简介</w:t>
      </w:r>
    </w:p>
    <w:p w14:paraId="1A197466"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85" w:line="360" w:lineRule="auto"/>
        <w:ind w:left="514"/>
        <w:outlineLvl w:val="1"/>
        <w:rPr>
          <w:rFonts w:hint="default" w:ascii="宋体" w:hAnsi="宋体" w:eastAsia="宋体" w:cs="宋体"/>
          <w:b/>
          <w:bCs/>
          <w:spacing w:val="-5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5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pacing w:val="-5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spacing w:val="-5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spacing w:val="-5"/>
          <w:sz w:val="24"/>
          <w:szCs w:val="24"/>
          <w:lang w:val="en-US" w:eastAsia="zh-CN"/>
        </w:rPr>
        <w:t>教学计划</w:t>
      </w:r>
    </w:p>
    <w:tbl>
      <w:tblPr>
        <w:tblStyle w:val="4"/>
        <w:tblpPr w:leftFromText="180" w:rightFromText="180" w:vertAnchor="text" w:horzAnchor="page" w:tblpX="1592" w:tblpY="2"/>
        <w:tblOverlap w:val="never"/>
        <w:tblW w:w="5223" w:type="pct"/>
        <w:tblInd w:w="0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2"/>
        <w:gridCol w:w="1787"/>
        <w:gridCol w:w="608"/>
        <w:gridCol w:w="858"/>
        <w:gridCol w:w="859"/>
        <w:gridCol w:w="666"/>
        <w:gridCol w:w="917"/>
        <w:gridCol w:w="1242"/>
        <w:gridCol w:w="1083"/>
      </w:tblGrid>
      <w:tr w14:paraId="599D7D3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4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A9E171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课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程类别</w:t>
            </w:r>
          </w:p>
        </w:tc>
        <w:tc>
          <w:tcPr>
            <w:tcW w:w="97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17100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课程名称</w:t>
            </w:r>
          </w:p>
        </w:tc>
        <w:tc>
          <w:tcPr>
            <w:tcW w:w="33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B9748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学分</w:t>
            </w:r>
          </w:p>
        </w:tc>
        <w:tc>
          <w:tcPr>
            <w:tcW w:w="4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C568C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学时</w:t>
            </w:r>
          </w:p>
        </w:tc>
        <w:tc>
          <w:tcPr>
            <w:tcW w:w="82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CCCE22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学时分配</w:t>
            </w:r>
          </w:p>
        </w:tc>
        <w:tc>
          <w:tcPr>
            <w:tcW w:w="4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8BF3B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授课方式（可选择填此列）</w:t>
            </w:r>
          </w:p>
        </w:tc>
        <w:tc>
          <w:tcPr>
            <w:tcW w:w="674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683F4F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开课学期</w:t>
            </w:r>
          </w:p>
        </w:tc>
        <w:tc>
          <w:tcPr>
            <w:tcW w:w="588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3B8B1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开课学院</w:t>
            </w:r>
          </w:p>
        </w:tc>
      </w:tr>
      <w:tr w14:paraId="3B0A33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4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BE4C3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662B0D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11489C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D5988D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0813C4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理论学时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70396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实践学时</w:t>
            </w:r>
          </w:p>
        </w:tc>
        <w:tc>
          <w:tcPr>
            <w:tcW w:w="4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16CC3C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4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F634A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88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11404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25801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F14147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专业基础课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3E3CF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华文仿宋" w:hAnsi="华文仿宋" w:eastAsia="华文仿宋" w:cs="华文仿宋"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  <w:lang w:val="en-US"/>
              </w:rPr>
              <w:t>数字文旅前沿·上海案例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1F1FD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1.5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FEF7B0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default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8FFC6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080F1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6802D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"/>
              </w:rPr>
              <w:t>混合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646BBF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第1学年（秋）</w:t>
            </w:r>
          </w:p>
        </w:tc>
        <w:tc>
          <w:tcPr>
            <w:tcW w:w="588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3256D0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经济与管理学院</w:t>
            </w:r>
          </w:p>
        </w:tc>
      </w:tr>
      <w:tr w14:paraId="4292A3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312E4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专业基础课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342D80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华文仿宋" w:hAnsi="华文仿宋" w:eastAsia="华文仿宋" w:cs="华文仿宋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napToGrid w:val="0"/>
                <w:color w:val="000000"/>
                <w:sz w:val="24"/>
                <w:szCs w:val="24"/>
                <w:lang w:val="en-US" w:eastAsia="zh-CN" w:bidi="ar-SA"/>
              </w:rPr>
              <w:t>城市文化叙事与Citywalk策划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B7CAC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  <w:t>1.5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13BF3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default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E4A004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A21A3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228210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"/>
              </w:rPr>
              <w:t>混合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40FB1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第1学年（秋）</w:t>
            </w:r>
          </w:p>
        </w:tc>
        <w:tc>
          <w:tcPr>
            <w:tcW w:w="588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5A28D5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经济与管理学院</w:t>
            </w:r>
          </w:p>
        </w:tc>
      </w:tr>
      <w:tr w14:paraId="3AF338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1F32B3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专业课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0BFF39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华文仿宋" w:hAnsi="华文仿宋" w:eastAsia="华文仿宋" w:cs="华文仿宋"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  <w:lang w:val="en-US"/>
              </w:rPr>
              <w:t>人工智能与非遗创意设计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A0449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1.5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79195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default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0B899C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7287D8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0AB507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"/>
              </w:rPr>
              <w:t>混合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1D384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第1学年（秋）</w:t>
            </w:r>
          </w:p>
        </w:tc>
        <w:tc>
          <w:tcPr>
            <w:tcW w:w="588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925FB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经济与管理学院</w:t>
            </w:r>
          </w:p>
        </w:tc>
      </w:tr>
      <w:tr w14:paraId="675003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8AEC54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专业课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598C3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华文仿宋" w:hAnsi="华文仿宋" w:eastAsia="华文仿宋" w:cs="华文仿宋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华文仿宋" w:hAnsi="华文仿宋" w:eastAsia="华文仿宋" w:cs="华文仿宋"/>
                <w:snapToGrid w:val="0"/>
                <w:color w:val="000000"/>
                <w:sz w:val="24"/>
                <w:szCs w:val="24"/>
                <w:lang w:val="en-US" w:eastAsia="zh-CN" w:bidi="ar-SA"/>
              </w:rPr>
              <w:t>沪上红色资源调查与数字传承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1140C5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  <w:t>1.5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471924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default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870663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BC3F1E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627551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"/>
              </w:rPr>
              <w:t>混合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1DDBB3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第1学年（春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）</w:t>
            </w:r>
          </w:p>
        </w:tc>
        <w:tc>
          <w:tcPr>
            <w:tcW w:w="588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1B91D3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经济与管理学院</w:t>
            </w:r>
          </w:p>
        </w:tc>
      </w:tr>
      <w:tr w14:paraId="3B1291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C5318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专业课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275C6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华文仿宋" w:hAnsi="华文仿宋" w:eastAsia="华文仿宋" w:cs="华文仿宋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napToGrid w:val="0"/>
                <w:color w:val="000000"/>
                <w:sz w:val="24"/>
                <w:szCs w:val="24"/>
                <w:lang w:val="en-US" w:eastAsia="zh-CN" w:bidi="ar-SA"/>
              </w:rPr>
              <w:t>文旅大数据实战与消费行为洞察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BB2690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1.5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7D9E31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default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F79212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27FEAF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6FA287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"/>
              </w:rPr>
              <w:t>混合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9D299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第1学年（春）</w:t>
            </w:r>
          </w:p>
        </w:tc>
        <w:tc>
          <w:tcPr>
            <w:tcW w:w="588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DF477F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经济与管理学院</w:t>
            </w:r>
          </w:p>
        </w:tc>
      </w:tr>
      <w:tr w14:paraId="0255F4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4C1AB5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专业课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3B7CF2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华文仿宋" w:hAnsi="华文仿宋" w:eastAsia="华文仿宋" w:cs="华文仿宋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  <w:lang w:val="en-US" w:eastAsia="zh-CN"/>
              </w:rPr>
              <w:t>文旅IP开发与运营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D285D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1.5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9D4E0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default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21D054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068C0E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E134E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"/>
              </w:rPr>
              <w:t>混合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64FA5D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第1学年（春）</w:t>
            </w:r>
          </w:p>
        </w:tc>
        <w:tc>
          <w:tcPr>
            <w:tcW w:w="588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77B40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经济与管理学院</w:t>
            </w:r>
          </w:p>
        </w:tc>
      </w:tr>
      <w:tr w14:paraId="676B8A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250B30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专业实践课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03A15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华文仿宋" w:hAnsi="华文仿宋" w:eastAsia="华文仿宋" w:cs="华文仿宋"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  <w:lang w:val="en-US"/>
              </w:rPr>
              <w:t>国际邮轮文旅产品设计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CFF8F6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1.5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6F10DE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default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752A7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1E209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E407EA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"/>
              </w:rPr>
              <w:t>混合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A51D08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第1学年（夏）</w:t>
            </w:r>
          </w:p>
        </w:tc>
        <w:tc>
          <w:tcPr>
            <w:tcW w:w="588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3A759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经济与管理学院</w:t>
            </w:r>
          </w:p>
        </w:tc>
      </w:tr>
      <w:tr w14:paraId="56FE71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10D4A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专业实践课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AD2B6A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华文仿宋" w:hAnsi="华文仿宋" w:eastAsia="华文仿宋" w:cs="华文仿宋"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  <w:lang w:val="en-US"/>
              </w:rPr>
              <w:t>数智文旅项目实战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F0E031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1.5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8C9DE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default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4D2B2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C48FDF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87F11E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"/>
              </w:rPr>
              <w:t>混合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0B605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第1学年（夏）</w:t>
            </w:r>
          </w:p>
        </w:tc>
        <w:tc>
          <w:tcPr>
            <w:tcW w:w="588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FC1A22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经济与管理学院</w:t>
            </w:r>
          </w:p>
        </w:tc>
      </w:tr>
      <w:tr w14:paraId="51B1BD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16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12129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总计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8BE0F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380A64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default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192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1E4E8E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default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  <w:t>84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4B8DE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  <w:t>108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A4A3DF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-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D080D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-</w:t>
            </w:r>
          </w:p>
        </w:tc>
        <w:tc>
          <w:tcPr>
            <w:tcW w:w="588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F4FEEB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08890854">
      <w:pPr>
        <w:keepNext w:val="0"/>
        <w:keepLines w:val="0"/>
        <w:pageBreakBefore w:val="0"/>
        <w:widowControl/>
        <w:numPr>
          <w:ilvl w:val="0"/>
          <w:numId w:val="1"/>
        </w:numPr>
        <w:wordWrap/>
        <w:overflowPunct/>
        <w:topLinePunct w:val="0"/>
        <w:bidi w:val="0"/>
        <w:spacing w:before="185" w:line="360" w:lineRule="auto"/>
        <w:outlineLvl w:val="1"/>
        <w:rPr>
          <w:rFonts w:hint="eastAsia" w:ascii="宋体" w:hAnsi="宋体" w:eastAsia="宋体" w:cs="宋体"/>
          <w:b/>
          <w:bCs/>
          <w:spacing w:val="-5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pacing w:val="-5"/>
          <w:sz w:val="24"/>
          <w:szCs w:val="24"/>
          <w:lang w:eastAsia="zh-CN"/>
        </w:rPr>
        <w:t>数智文旅场景创新与实践微专业课程简介</w:t>
      </w:r>
    </w:p>
    <w:p w14:paraId="6737BFB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60" w:firstLineChars="200"/>
        <w:textAlignment w:val="baseline"/>
        <w:outlineLvl w:val="1"/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  <w:t>1.数字文旅前沿·上海案例</w:t>
      </w:r>
    </w:p>
    <w:p w14:paraId="4681F24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60" w:firstLineChars="200"/>
        <w:textAlignment w:val="baseline"/>
        <w:outlineLvl w:val="1"/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  <w:t>本课程是微专业的导论与认知基石，旨在帮助学生建立对数字文旅的整体认知框架，并以上海为具体样本，深入理解数字化如何重塑城市文旅生态。课程系统梳理数字文旅的技术体系、政策环境与产业趋势，重点聚焦上海“一江一河”文旅带、乐游上海智慧平台、迪士尼数字化体验、B站与二次元文旅经济、中共一大数字展陈等前沿案例。课程采用“政策解读+平台拆解+实地参访”相结合的教学方式，带领学生走进真实文旅场景</w:t>
      </w: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  <w:t>帮助学生快速进入数智文旅的实战语境。</w:t>
      </w:r>
    </w:p>
    <w:p w14:paraId="5BD8B55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60" w:firstLineChars="200"/>
        <w:textAlignment w:val="baseline"/>
        <w:outlineLvl w:val="1"/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  <w:t>2.城市文化叙事与Citywalk策划</w:t>
      </w:r>
    </w:p>
    <w:p w14:paraId="7D84F79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60" w:firstLineChars="200"/>
        <w:textAlignment w:val="baseline"/>
        <w:outlineLvl w:val="1"/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  <w:t>课程致力于为学生们提供从文化洞察到创意落地的全流程实战训练。课程内容贯穿海派文化解码、叙事主题策划、文创周边开发、社群营销与商业逻辑等关键要素。课堂将深度剖析武康大楼“建筑阅读”与苏州河工业遗产更新等前沿案例。课程引入业界导师指导与项目实战模拟教学，让学生在真实街区情境中完成策划训练。无论学员是期望在各类创新创业、文旅策划竞赛中脱颖而出，还是为未来的文商旅项目孵化积累经验，本课程都将提供前瞻性的行业思维与扎实的专业技能支持，助力优质创意真正落地。</w:t>
      </w: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  <w:lang w:val="en-US" w:eastAsia="zh-CN"/>
        </w:rPr>
        <w:t xml:space="preserve"> </w:t>
      </w:r>
    </w:p>
    <w:p w14:paraId="68C013A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60" w:firstLineChars="200"/>
        <w:textAlignment w:val="baseline"/>
        <w:outlineLvl w:val="1"/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  <w:t>3.人工智能与非遗创意设计</w:t>
      </w:r>
    </w:p>
    <w:p w14:paraId="1149AC8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60" w:firstLineChars="200"/>
        <w:textAlignment w:val="baseline"/>
        <w:outlineLvl w:val="1"/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  <w:t>课程聚焦生成式人工智能（AIGC）技术在非物质文化遗产（非遗）IP重构与创新传播中的应用，是“数智文旅”方向的核心课程之一。课程以“技术+文化+传播”三位一体为理念，基于国内外“非遗+AI”的典型应用案例，系统讲授如何运用ChatGPT、Midjourney等生成式AI工具，对传统非遗进行内容挖掘、视觉重构、叙事再造和文旅产品转化。课程采用案例教学与上机实操相结合的方式，在真实非遗项目中完成AI工具的应用训练。 同时学习AI介入非遗保护传承的伦理及风险。</w:t>
      </w:r>
    </w:p>
    <w:p w14:paraId="4C58FC8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60" w:firstLineChars="200"/>
        <w:textAlignment w:val="baseline"/>
        <w:outlineLvl w:val="1"/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  <w:t>4.沪上红色资源调查与数字传承</w:t>
      </w:r>
    </w:p>
    <w:p w14:paraId="3658AA0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60" w:firstLineChars="200"/>
        <w:textAlignment w:val="baseline"/>
        <w:outlineLvl w:val="1"/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  <w:t>课程旨在锤炼学生文化思辨素养与红色文化创新传播能力，提升学生的文化传承与文旅创新实践能力。本课程立足上海本土红色文化资源，聚焦红色文化数字化保护与创新传播。课程以沪上红色旅游田野调研为核心，辅以红色文旅资源普查、实地走访调研等专业方法，并融入红色资源数字化留存保护相关知识。课程采用“理论讲授+实地调研+创意实操”三位一体的教学模式，组织学生走进红色场馆开展田野调查。 学生可围绕上海红色文旅微课题，完成调研、梳理、创意产出全流程学习。</w:t>
      </w:r>
    </w:p>
    <w:p w14:paraId="5B60781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60" w:firstLineChars="200"/>
        <w:textAlignment w:val="baseline"/>
        <w:outlineLvl w:val="1"/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  <w:t>5.文旅大数据实战与消费行为洞察</w:t>
      </w:r>
    </w:p>
    <w:p w14:paraId="188C3E1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60" w:firstLineChars="200"/>
        <w:textAlignment w:val="baseline"/>
        <w:outlineLvl w:val="1"/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  <w:t>课程旨在培养学生在数字文旅时代，利用数据分析解决实际问题的能力。课程融合一手消费者研究与公开数据分析，内容包括：文旅多源数据采集、消费者画像构建、舆情情感分析、文旅消费趋势预测。课程采用“基础概念讲授+实践项目+机房操作”相结合的教学形式，在真实或模拟数据集中完成分析训练。 学生将能够：理解大数据在文旅消费决策中的底层逻辑，能够将模糊的消费现象转化为清晰的数据分析维度；能够针对具体的文旅消费问题，设计出小型的市场调研方案；能够将数据分析结果转化为有价值的消费者洞察，并撰写出逻辑清晰、观点明确的分析报告。</w:t>
      </w:r>
    </w:p>
    <w:p w14:paraId="457053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60" w:firstLineChars="200"/>
        <w:textAlignment w:val="baseline"/>
        <w:outlineLvl w:val="1"/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  <w:t>6.国际邮轮文旅产品设计</w:t>
      </w:r>
    </w:p>
    <w:p w14:paraId="42693FF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60" w:firstLineChars="200"/>
        <w:textAlignment w:val="baseline"/>
        <w:outlineLvl w:val="1"/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  <w:t>课程立足国际邮轮行业与文旅融合发展方向，聚焦邮轮文旅产品策划与设计核心内容。课程围绕邮轮文旅产品开发、航线与岸上文旅项目设计、邮轮体验产品打造、产品推广思路等内容展开，课程采用“案例拆解+小组方案设计+课堂实操练习”相结合的教学方式，在模拟真实邮轮产品开发流程中完成策划训练。帮助学生掌握邮轮文旅产品从创意构思到方案成型的基本方法，提升产品设计、团队协作与实际问题解决能力，同时拓展国际视野，为从事文旅策划、邮轮产品相关工作打下实用基础。</w:t>
      </w:r>
    </w:p>
    <w:p w14:paraId="273F769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60" w:firstLineChars="200"/>
        <w:textAlignment w:val="baseline"/>
        <w:outlineLvl w:val="1"/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  <w:t>7.文旅IP开发与运营</w:t>
      </w:r>
    </w:p>
    <w:p w14:paraId="666EFF0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60" w:firstLineChars="200"/>
        <w:textAlignment w:val="baseline"/>
        <w:outlineLvl w:val="1"/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  <w:t>本课程聚焦文旅产业中最具商业价值与传播力的核心环节——IP的构建与长效运营。课程以“文化资源→IP原型→衍生产品→品牌生态”为主线，帮助学生掌握从零到一打造文旅IP的系统方法论。课程涵盖IP价值识别、文化元素提炼、故事化与视觉化表达、IP授权与衍生品开发、跨界联名与数字化运营等完整链路，以上海博物馆、迪士尼、豫园灯会、红色文创等为深度案例，拆解成功IP背后的用户洞察与商业逻辑。课程采用“案例拆解+方案设计+模拟路演”的教学模式，让学生在真实IP开发情境中完成策划训练。 同时设置博物馆IP专题模块，聚焦文博场景下的IP转化路径。</w:t>
      </w:r>
    </w:p>
    <w:p w14:paraId="4A3C029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60" w:firstLineChars="200"/>
        <w:textAlignment w:val="baseline"/>
        <w:outlineLvl w:val="1"/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  <w:t>8.数智文旅项目实战</w:t>
      </w:r>
    </w:p>
    <w:p w14:paraId="6C0C113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60" w:firstLineChars="200"/>
        <w:textAlignment w:val="baseline"/>
        <w:outlineLvl w:val="1"/>
        <w:rPr>
          <w:rFonts w:hint="default" w:ascii="宋体" w:hAnsi="宋体" w:eastAsia="宋体" w:cs="宋体"/>
          <w:b w:val="0"/>
          <w:bCs w:val="0"/>
          <w:spacing w:val="-5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  <w:t>课程为集中实战课，是前序课程的综合演练场。课程采用“项目制实战教学”模式，学生在真实或仿真的文旅场景中，完成从创意策划、数字内容生产、社交传播到数据复盘的全链路实操。 重点操练短视频矩阵搭建与多平台内容运营（涵盖微信、小红书、直播渠道），在“真项目、真平台、真数据”中掌握数智文旅项目的核心操作技能，并可对接各类创新竞赛。</w:t>
      </w: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  <w:lang w:eastAsia="zh-CN"/>
        </w:rPr>
        <w:t>——</w:t>
      </w: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  <w:lang w:val="en-US" w:eastAsia="zh-CN"/>
        </w:rPr>
        <w:t>竞赛结合</w:t>
      </w:r>
    </w:p>
    <w:p w14:paraId="64F8D938">
      <w:pPr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5" w:line="360" w:lineRule="auto"/>
        <w:ind w:left="514"/>
        <w:textAlignment w:val="baseline"/>
        <w:outlineLvl w:val="1"/>
        <w:rPr>
          <w:rFonts w:ascii="宋体" w:hAnsi="宋体" w:eastAsia="宋体" w:cs="宋体"/>
          <w:b/>
          <w:bCs/>
          <w:spacing w:val="-5"/>
          <w:sz w:val="24"/>
          <w:szCs w:val="24"/>
        </w:rPr>
      </w:pPr>
    </w:p>
    <w:p w14:paraId="570C8C11">
      <w:pPr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5" w:line="360" w:lineRule="auto"/>
        <w:ind w:left="514"/>
        <w:textAlignment w:val="baseline"/>
        <w:outlineLvl w:val="1"/>
        <w:rPr>
          <w:rFonts w:ascii="宋体" w:hAnsi="宋体" w:eastAsia="宋体" w:cs="宋体"/>
          <w:b/>
          <w:bCs/>
          <w:spacing w:val="-5"/>
          <w:sz w:val="24"/>
          <w:szCs w:val="24"/>
        </w:rPr>
      </w:pPr>
    </w:p>
    <w:p w14:paraId="0836A7C9">
      <w:pPr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宋体" w:hAnsi="宋体" w:eastAsia="宋体" w:cs="宋体"/>
          <w:b/>
          <w:bCs/>
          <w:spacing w:val="-5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pacing w:val="-5"/>
          <w:sz w:val="24"/>
          <w:szCs w:val="24"/>
          <w:lang w:eastAsia="zh-CN"/>
        </w:rPr>
        <w:br w:type="page"/>
      </w:r>
    </w:p>
    <w:p w14:paraId="614965F0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360" w:lineRule="auto"/>
        <w:textAlignment w:val="baseline"/>
        <w:rPr>
          <w:rFonts w:hint="eastAsia" w:ascii="宋体" w:hAnsi="宋体" w:eastAsia="宋体" w:cs="宋体"/>
          <w:b/>
          <w:bCs/>
          <w:spacing w:val="-3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3"/>
          <w:sz w:val="24"/>
          <w:szCs w:val="24"/>
          <w:lang w:val="en-US" w:eastAsia="zh-CN"/>
        </w:rPr>
        <w:t>附：数智文旅场景创新与实践微专业培养方案</w:t>
      </w:r>
    </w:p>
    <w:p w14:paraId="6EC34BDD"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beforeAutospacing="0" w:after="156" w:afterLines="50" w:afterAutospacing="0" w:line="360" w:lineRule="auto"/>
        <w:ind w:left="682" w:right="0" w:hanging="682" w:hangingChars="155"/>
        <w:jc w:val="center"/>
        <w:textAlignment w:val="baseline"/>
        <w:rPr>
          <w:rFonts w:hint="eastAsia" w:ascii="微软雅黑" w:hAnsi="微软雅黑" w:eastAsia="微软雅黑" w:cs="微软雅黑"/>
          <w:bCs/>
          <w:sz w:val="44"/>
          <w:szCs w:val="44"/>
          <w:lang w:val="en-US"/>
        </w:rPr>
      </w:pPr>
      <w:r>
        <w:rPr>
          <w:rFonts w:hint="eastAsia" w:ascii="微软雅黑" w:hAnsi="微软雅黑" w:eastAsia="微软雅黑" w:cs="微软雅黑"/>
          <w:bCs/>
          <w:snapToGrid w:val="0"/>
          <w:color w:val="000000"/>
          <w:kern w:val="0"/>
          <w:sz w:val="44"/>
          <w:szCs w:val="44"/>
          <w:lang w:val="en-US" w:eastAsia="zh-CN" w:bidi="ar"/>
        </w:rPr>
        <w:t>数智文旅场景创新与实践微专业培养方案</w:t>
      </w:r>
    </w:p>
    <w:p w14:paraId="00AE3CFC"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right="0"/>
        <w:jc w:val="both"/>
        <w:textAlignment w:val="baseline"/>
        <w:rPr>
          <w:rFonts w:hint="eastAsia" w:ascii="仿宋_GB2312" w:eastAsia="仿宋_GB2312" w:cs="仿宋_GB2312"/>
          <w:b/>
          <w:bCs w:val="0"/>
          <w:sz w:val="28"/>
          <w:szCs w:val="28"/>
          <w:lang w:val="en-US"/>
        </w:rPr>
      </w:pPr>
      <w:r>
        <w:rPr>
          <w:rFonts w:hint="eastAsia" w:ascii="仿宋_GB2312" w:hAnsi="宋体" w:eastAsia="仿宋_GB2312" w:cs="仿宋_GB2312"/>
          <w:b/>
          <w:bCs w:val="0"/>
          <w:snapToGrid w:val="0"/>
          <w:color w:val="000000"/>
          <w:kern w:val="0"/>
          <w:sz w:val="28"/>
          <w:szCs w:val="28"/>
          <w:lang w:val="en-US" w:eastAsia="zh-CN" w:bidi="ar"/>
        </w:rPr>
        <w:t>一、培养目标</w:t>
      </w:r>
    </w:p>
    <w:p w14:paraId="69E923A3"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 w:firstLineChars="200"/>
        <w:jc w:val="both"/>
        <w:textAlignment w:val="baseline"/>
        <w:rPr>
          <w:rFonts w:hint="eastAsia" w:ascii="仿宋_GB2312" w:hAnsi="宋体" w:eastAsia="仿宋_GB2312" w:cs="仿宋_GB2312"/>
          <w:b/>
          <w:bCs w:val="0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宋体" w:eastAsia="仿宋_GB2312" w:cs="仿宋_GB2312"/>
          <w:snapToGrid w:val="0"/>
          <w:color w:val="000000"/>
          <w:kern w:val="0"/>
          <w:sz w:val="28"/>
          <w:szCs w:val="28"/>
          <w:lang w:val="en-US" w:eastAsia="zh-CN" w:bidi="ar"/>
        </w:rPr>
        <w:t>本专业以服务上海建设“世界著名旅游城市”和国际文化大都市战略为引领，面向文旅深度融合与数字化转型发展需求，培养具有创新意识、实践能力和跨界思维的复合型应用人才。学生将系统掌握数字文旅基础理论、场景策划方法、数字内容生产与运营技能，具备在上海数字化景区、文旅展会、二次元活动、红色场馆、邮轮文旅等真实场景中开展调查研究、创意策划、数据分析与项目运营的能力，能够在文旅及相关领域从事产品策划、内容运营、数字营销等工作的应用型复合人才。</w:t>
      </w:r>
    </w:p>
    <w:p w14:paraId="70E5F786"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right="0"/>
        <w:jc w:val="both"/>
        <w:textAlignment w:val="baseline"/>
        <w:rPr>
          <w:rFonts w:hint="eastAsia" w:ascii="仿宋_GB2312" w:eastAsia="仿宋_GB2312" w:cs="仿宋_GB2312"/>
          <w:b/>
          <w:bCs w:val="0"/>
          <w:sz w:val="28"/>
          <w:szCs w:val="28"/>
          <w:lang w:val="en-US"/>
        </w:rPr>
      </w:pPr>
      <w:r>
        <w:rPr>
          <w:rFonts w:hint="eastAsia" w:ascii="仿宋_GB2312" w:hAnsi="宋体" w:eastAsia="仿宋_GB2312" w:cs="仿宋_GB2312"/>
          <w:b/>
          <w:bCs w:val="0"/>
          <w:snapToGrid w:val="0"/>
          <w:color w:val="000000"/>
          <w:kern w:val="0"/>
          <w:sz w:val="28"/>
          <w:szCs w:val="28"/>
          <w:lang w:val="en-US" w:eastAsia="zh-CN" w:bidi="ar"/>
        </w:rPr>
        <w:t>二、招生对象与条件</w:t>
      </w:r>
    </w:p>
    <w:p w14:paraId="0B38E667"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2" w:firstLineChars="200"/>
        <w:jc w:val="both"/>
        <w:textAlignment w:val="baseline"/>
        <w:rPr>
          <w:rFonts w:hint="eastAsia" w:ascii="仿宋_GB2312" w:eastAsia="仿宋_GB2312" w:cs="仿宋_GB2312"/>
          <w:b/>
          <w:bCs w:val="0"/>
          <w:sz w:val="28"/>
          <w:szCs w:val="28"/>
          <w:lang w:val="en-US"/>
        </w:rPr>
      </w:pPr>
      <w:r>
        <w:rPr>
          <w:rFonts w:hint="eastAsia" w:ascii="仿宋_GB2312" w:hAnsi="宋体" w:eastAsia="仿宋_GB2312" w:cs="仿宋_GB2312"/>
          <w:b/>
          <w:bCs w:val="0"/>
          <w:snapToGrid w:val="0"/>
          <w:color w:val="000000"/>
          <w:kern w:val="0"/>
          <w:sz w:val="28"/>
          <w:szCs w:val="28"/>
          <w:lang w:val="en-US" w:eastAsia="zh-CN" w:bidi="ar"/>
        </w:rPr>
        <w:t>1.招生对象</w:t>
      </w:r>
    </w:p>
    <w:p w14:paraId="154529AB"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 w:firstLineChars="200"/>
        <w:jc w:val="both"/>
        <w:textAlignment w:val="baseline"/>
        <w:rPr>
          <w:rFonts w:hint="eastAsia" w:ascii="仿宋_GB2312" w:eastAsia="仿宋_GB2312" w:cs="仿宋_GB2312"/>
          <w:b/>
          <w:bCs w:val="0"/>
          <w:sz w:val="28"/>
          <w:szCs w:val="28"/>
          <w:lang w:val="en-US"/>
        </w:rPr>
      </w:pPr>
      <w:r>
        <w:rPr>
          <w:rFonts w:hint="eastAsia" w:ascii="仿宋_GB2312" w:hAnsi="宋体" w:eastAsia="仿宋_GB2312" w:cs="仿宋_GB2312"/>
          <w:snapToGrid w:val="0"/>
          <w:color w:val="000000"/>
          <w:kern w:val="0"/>
          <w:sz w:val="28"/>
          <w:szCs w:val="28"/>
          <w:lang w:val="en-US" w:eastAsia="zh-CN" w:bidi="ar"/>
        </w:rPr>
        <w:t>面向全校本科专业学生</w:t>
      </w:r>
    </w:p>
    <w:p w14:paraId="4E21962E"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2" w:firstLineChars="200"/>
        <w:jc w:val="both"/>
        <w:textAlignment w:val="baseline"/>
        <w:rPr>
          <w:rFonts w:hint="eastAsia" w:ascii="仿宋_GB2312" w:eastAsia="仿宋_GB2312" w:cs="仿宋_GB2312"/>
          <w:b/>
          <w:bCs w:val="0"/>
          <w:sz w:val="28"/>
          <w:szCs w:val="28"/>
          <w:lang w:val="en-US"/>
        </w:rPr>
      </w:pPr>
      <w:r>
        <w:rPr>
          <w:rFonts w:hint="eastAsia" w:ascii="仿宋_GB2312" w:hAnsi="宋体" w:eastAsia="仿宋_GB2312" w:cs="仿宋_GB2312"/>
          <w:b/>
          <w:bCs w:val="0"/>
          <w:snapToGrid w:val="0"/>
          <w:color w:val="000000"/>
          <w:kern w:val="0"/>
          <w:sz w:val="28"/>
          <w:szCs w:val="28"/>
          <w:lang w:val="en-US" w:eastAsia="zh-CN" w:bidi="ar"/>
        </w:rPr>
        <w:t>2.招生条件</w:t>
      </w:r>
    </w:p>
    <w:p w14:paraId="473A2B03"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 w:firstLineChars="200"/>
        <w:jc w:val="both"/>
        <w:textAlignment w:val="baseline"/>
        <w:rPr>
          <w:rFonts w:hint="eastAsia" w:ascii="仿宋_GB2312" w:eastAsia="仿宋_GB2312" w:cs="仿宋_GB2312"/>
          <w:sz w:val="28"/>
          <w:szCs w:val="28"/>
          <w:lang w:val="en-US"/>
        </w:rPr>
      </w:pPr>
      <w:r>
        <w:rPr>
          <w:rFonts w:hint="eastAsia" w:ascii="仿宋_GB2312" w:hAnsi="宋体" w:eastAsia="仿宋_GB2312" w:cs="仿宋_GB2312"/>
          <w:snapToGrid w:val="0"/>
          <w:color w:val="000000"/>
          <w:kern w:val="0"/>
          <w:sz w:val="28"/>
          <w:szCs w:val="28"/>
          <w:lang w:val="en-US" w:eastAsia="zh-CN" w:bidi="ar"/>
        </w:rPr>
        <w:t>本校或其他高校在籍本科生，专业不限，对前置课程无要求。</w:t>
      </w:r>
    </w:p>
    <w:p w14:paraId="0E9519A6"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2" w:firstLineChars="200"/>
        <w:jc w:val="both"/>
        <w:textAlignment w:val="baseline"/>
        <w:rPr>
          <w:rFonts w:hint="eastAsia" w:ascii="仿宋_GB2312" w:eastAsia="仿宋_GB2312" w:cs="仿宋_GB2312"/>
          <w:b/>
          <w:bCs w:val="0"/>
          <w:sz w:val="28"/>
          <w:szCs w:val="28"/>
          <w:lang w:val="en-US"/>
        </w:rPr>
      </w:pPr>
    </w:p>
    <w:p w14:paraId="478B33F8"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right="0"/>
        <w:jc w:val="both"/>
        <w:textAlignment w:val="baseline"/>
        <w:rPr>
          <w:rFonts w:hint="eastAsia" w:ascii="仿宋_GB2312" w:eastAsia="仿宋_GB2312" w:cs="Times New Roman"/>
          <w:b/>
          <w:bCs w:val="0"/>
          <w:sz w:val="28"/>
          <w:szCs w:val="28"/>
          <w:lang w:val="en-US"/>
        </w:rPr>
      </w:pPr>
      <w:r>
        <w:rPr>
          <w:rFonts w:hint="eastAsia" w:ascii="仿宋_GB2312" w:hAnsi="宋体" w:eastAsia="仿宋_GB2312" w:cs="Times New Roman"/>
          <w:b/>
          <w:bCs w:val="0"/>
          <w:snapToGrid w:val="0"/>
          <w:color w:val="000000"/>
          <w:kern w:val="0"/>
          <w:sz w:val="28"/>
          <w:szCs w:val="28"/>
          <w:lang w:val="en-US" w:eastAsia="zh-CN" w:bidi="ar"/>
        </w:rPr>
        <w:t xml:space="preserve">三、学制与学分 </w:t>
      </w:r>
    </w:p>
    <w:p w14:paraId="61800F23"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right="0" w:firstLine="840" w:firstLineChars="300"/>
        <w:jc w:val="both"/>
        <w:textAlignment w:val="baseline"/>
        <w:rPr>
          <w:rFonts w:hint="eastAsia" w:ascii="仿宋_GB2312" w:hAnsi="Times New Roman" w:eastAsia="仿宋_GB2312" w:cs="Times New Roman"/>
          <w:sz w:val="28"/>
          <w:szCs w:val="28"/>
          <w:lang w:val="en-US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28"/>
          <w:szCs w:val="28"/>
          <w:lang w:val="en-US" w:eastAsia="zh-CN" w:bidi="ar"/>
        </w:rPr>
        <w:t>1.学制：1学年</w:t>
      </w:r>
    </w:p>
    <w:p w14:paraId="08B37E12"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right="0" w:firstLine="840" w:firstLineChars="300"/>
        <w:jc w:val="both"/>
        <w:textAlignment w:val="baseline"/>
        <w:rPr>
          <w:rFonts w:hint="eastAsia" w:ascii="仿宋_GB2312" w:hAnsi="Times New Roman" w:eastAsia="仿宋_GB2312" w:cs="Times New Roman"/>
          <w:sz w:val="28"/>
          <w:szCs w:val="28"/>
          <w:lang w:val="en-US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28"/>
          <w:szCs w:val="28"/>
          <w:lang w:val="en-US" w:eastAsia="zh-CN" w:bidi="ar"/>
        </w:rPr>
        <w:t>2.学分：12学分</w:t>
      </w:r>
    </w:p>
    <w:p w14:paraId="12F295A7"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right="0" w:firstLine="840" w:firstLineChars="300"/>
        <w:jc w:val="both"/>
        <w:textAlignment w:val="baseline"/>
        <w:rPr>
          <w:rFonts w:hint="eastAsia" w:ascii="仿宋_GB2312" w:hAnsi="Times New Roman" w:eastAsia="仿宋_GB2312" w:cs="Times New Roman"/>
          <w:sz w:val="28"/>
          <w:szCs w:val="28"/>
          <w:lang w:val="en-US"/>
        </w:rPr>
      </w:pPr>
    </w:p>
    <w:p w14:paraId="0512D0DF"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right="0"/>
        <w:jc w:val="both"/>
        <w:textAlignment w:val="baseline"/>
        <w:rPr>
          <w:rFonts w:hint="eastAsia" w:ascii="仿宋_GB2312" w:eastAsia="仿宋_GB2312" w:cs="仿宋_GB2312"/>
          <w:b/>
          <w:bCs w:val="0"/>
          <w:sz w:val="28"/>
          <w:szCs w:val="28"/>
          <w:lang w:val="en-US"/>
        </w:rPr>
      </w:pPr>
      <w:r>
        <w:rPr>
          <w:rFonts w:hint="eastAsia" w:ascii="仿宋_GB2312" w:hAnsi="宋体" w:eastAsia="仿宋_GB2312" w:cs="仿宋_GB2312"/>
          <w:b/>
          <w:bCs w:val="0"/>
          <w:snapToGrid w:val="0"/>
          <w:color w:val="000000"/>
          <w:kern w:val="0"/>
          <w:sz w:val="28"/>
          <w:szCs w:val="28"/>
          <w:lang w:val="en-US" w:eastAsia="zh-CN" w:bidi="ar"/>
        </w:rPr>
        <w:t>四、成绩与证书</w:t>
      </w:r>
    </w:p>
    <w:p w14:paraId="37DA0CBE"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 w:firstLineChars="200"/>
        <w:jc w:val="both"/>
        <w:textAlignment w:val="baseline"/>
        <w:rPr>
          <w:rFonts w:hint="eastAsia" w:ascii="仿宋_GB2312" w:hAnsi="宋体" w:eastAsia="仿宋_GB2312" w:cs="仿宋_GB2312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宋体" w:eastAsia="仿宋_GB2312" w:cs="仿宋_GB2312"/>
          <w:snapToGrid w:val="0"/>
          <w:color w:val="000000"/>
          <w:kern w:val="0"/>
          <w:sz w:val="28"/>
          <w:szCs w:val="28"/>
          <w:lang w:val="en-US" w:eastAsia="zh-CN" w:bidi="ar"/>
        </w:rPr>
        <w:t>学生在毕业前，修满本培养方案规定的12学分，颁发“数智文旅场景创新与实践”微专业证书。</w:t>
      </w:r>
    </w:p>
    <w:p w14:paraId="36A3EFD7"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right="0"/>
        <w:jc w:val="both"/>
        <w:textAlignment w:val="baseline"/>
        <w:rPr>
          <w:rFonts w:hint="eastAsia" w:ascii="仿宋_GB2312" w:hAnsi="宋体" w:eastAsia="仿宋_GB2312" w:cs="仿宋_GB2312"/>
          <w:snapToGrid w:val="0"/>
          <w:color w:val="000000"/>
          <w:kern w:val="0"/>
          <w:sz w:val="28"/>
          <w:szCs w:val="28"/>
          <w:lang w:val="en-US" w:eastAsia="zh-CN" w:bidi="ar"/>
        </w:rPr>
      </w:pPr>
    </w:p>
    <w:p w14:paraId="77603633"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right="0"/>
        <w:jc w:val="both"/>
        <w:textAlignment w:val="baseline"/>
        <w:rPr>
          <w:rFonts w:hint="eastAsia" w:ascii="仿宋_GB2312" w:eastAsia="仿宋_GB2312" w:cs="仿宋_GB2312"/>
          <w:b/>
          <w:bCs w:val="0"/>
          <w:sz w:val="28"/>
          <w:szCs w:val="28"/>
          <w:lang w:val="en-US"/>
        </w:rPr>
      </w:pPr>
      <w:r>
        <w:rPr>
          <w:rFonts w:hint="eastAsia" w:ascii="仿宋_GB2312" w:hAnsi="宋体" w:eastAsia="仿宋_GB2312" w:cs="仿宋_GB2312"/>
          <w:b/>
          <w:bCs w:val="0"/>
          <w:snapToGrid w:val="0"/>
          <w:color w:val="000000"/>
          <w:kern w:val="0"/>
          <w:sz w:val="28"/>
          <w:szCs w:val="28"/>
          <w:lang w:val="en-US" w:eastAsia="zh-CN" w:bidi="ar"/>
        </w:rPr>
        <w:t>五、课程设置</w:t>
      </w:r>
    </w:p>
    <w:p w14:paraId="46F49C28"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480" w:right="0"/>
        <w:jc w:val="center"/>
        <w:textAlignment w:val="baseline"/>
        <w:rPr>
          <w:rFonts w:hint="eastAsia" w:ascii="黑体" w:hAnsi="宋体" w:eastAsia="黑体" w:cs="黑体"/>
          <w:b/>
          <w:bCs w:val="0"/>
          <w:sz w:val="24"/>
          <w:szCs w:val="20"/>
          <w:lang w:val="en-US"/>
        </w:rPr>
      </w:pPr>
      <w:r>
        <w:rPr>
          <w:rFonts w:hint="eastAsia" w:ascii="黑体" w:hAnsi="宋体" w:eastAsia="黑体" w:cs="黑体"/>
          <w:b/>
          <w:bCs w:val="0"/>
          <w:snapToGrid w:val="0"/>
          <w:color w:val="000000"/>
          <w:kern w:val="0"/>
          <w:sz w:val="24"/>
          <w:szCs w:val="20"/>
          <w:lang w:val="en-US" w:eastAsia="zh-CN" w:bidi="ar"/>
        </w:rPr>
        <w:t>数智文旅场景创新与实践微专业课程设置及教学进程计划表</w:t>
      </w:r>
    </w:p>
    <w:tbl>
      <w:tblPr>
        <w:tblStyle w:val="4"/>
        <w:tblW w:w="97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129"/>
        <w:gridCol w:w="1760"/>
        <w:gridCol w:w="650"/>
        <w:gridCol w:w="992"/>
        <w:gridCol w:w="851"/>
        <w:gridCol w:w="801"/>
        <w:gridCol w:w="1317"/>
        <w:gridCol w:w="1713"/>
      </w:tblGrid>
      <w:tr w14:paraId="19E0E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4B6F0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288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BFA5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Cs/>
                <w:spacing w:val="2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课程名称</w:t>
            </w:r>
          </w:p>
        </w:tc>
        <w:tc>
          <w:tcPr>
            <w:tcW w:w="6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3604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Cs/>
                <w:spacing w:val="2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学分</w:t>
            </w:r>
          </w:p>
        </w:tc>
        <w:tc>
          <w:tcPr>
            <w:tcW w:w="2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35C6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Cs/>
                <w:spacing w:val="2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spacing w:val="30"/>
                <w:kern w:val="0"/>
                <w:sz w:val="24"/>
                <w:szCs w:val="24"/>
                <w:lang w:val="en-US" w:eastAsia="zh-CN" w:bidi="ar"/>
              </w:rPr>
              <w:t>学时数</w:t>
            </w:r>
          </w:p>
        </w:tc>
        <w:tc>
          <w:tcPr>
            <w:tcW w:w="13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BE93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Cs/>
                <w:spacing w:val="2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"/>
              </w:rPr>
              <w:t>授课方式（混合、线下）</w:t>
            </w:r>
          </w:p>
        </w:tc>
        <w:tc>
          <w:tcPr>
            <w:tcW w:w="17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D965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Cs/>
                <w:spacing w:val="2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"/>
              </w:rPr>
              <w:t>开课</w:t>
            </w:r>
          </w:p>
          <w:p w14:paraId="3484359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Cs/>
                <w:spacing w:val="2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"/>
              </w:rPr>
              <w:t>学期</w:t>
            </w:r>
          </w:p>
        </w:tc>
      </w:tr>
      <w:tr w14:paraId="22DCA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C3F0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91EE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ACA3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618C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Cs/>
                <w:spacing w:val="2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总学时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2D800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理论</w:t>
            </w:r>
          </w:p>
          <w:p w14:paraId="5FE1B09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Cs/>
                <w:spacing w:val="2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学时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A987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实践</w:t>
            </w:r>
          </w:p>
          <w:p w14:paraId="6BA8B1D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Cs/>
                <w:spacing w:val="2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学时</w:t>
            </w:r>
          </w:p>
        </w:tc>
        <w:tc>
          <w:tcPr>
            <w:tcW w:w="13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6592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1745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3AC07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DDE7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C994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华文仿宋" w:hAnsi="华文仿宋" w:eastAsia="华文仿宋" w:cs="华文仿宋"/>
                <w:sz w:val="24"/>
                <w:szCs w:val="24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  <w:lang w:val="en-US"/>
              </w:rPr>
              <w:t>数字文旅前沿·上海案例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66E5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default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1.5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4159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default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1D83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default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367D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default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349E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"/>
              </w:rPr>
              <w:t>混合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C49C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第1学年（秋）</w:t>
            </w:r>
          </w:p>
        </w:tc>
      </w:tr>
      <w:tr w14:paraId="09DA7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52C1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C2DF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华文仿宋" w:hAnsi="华文仿宋" w:eastAsia="华文仿宋" w:cs="华文仿宋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napToGrid w:val="0"/>
                <w:color w:val="000000"/>
                <w:sz w:val="24"/>
                <w:szCs w:val="24"/>
                <w:lang w:val="en-US" w:eastAsia="zh-CN" w:bidi="ar-SA"/>
              </w:rPr>
              <w:t>城市文化叙事与Citywalk策划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4841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default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  <w:t>1.5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C50A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BFA63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2816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FAA8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"/>
              </w:rPr>
              <w:t>混合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E6273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第1学年（秋）</w:t>
            </w:r>
          </w:p>
        </w:tc>
      </w:tr>
      <w:tr w14:paraId="607B7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CA0C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D931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华文仿宋" w:hAnsi="华文仿宋" w:eastAsia="华文仿宋" w:cs="华文仿宋"/>
                <w:sz w:val="24"/>
                <w:szCs w:val="24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  <w:lang w:val="en-US"/>
              </w:rPr>
              <w:t>人工智能与非遗创意设计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BC87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default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1.5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8623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909F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8C0F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B8A31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"/>
              </w:rPr>
              <w:t>混合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CB16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第1学年（秋）</w:t>
            </w:r>
          </w:p>
        </w:tc>
      </w:tr>
      <w:tr w14:paraId="1C50B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F3FA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2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F1F8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default" w:ascii="华文仿宋" w:hAnsi="华文仿宋" w:eastAsia="华文仿宋" w:cs="华文仿宋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华文仿宋" w:hAnsi="华文仿宋" w:eastAsia="华文仿宋" w:cs="华文仿宋"/>
                <w:snapToGrid w:val="0"/>
                <w:color w:val="000000"/>
                <w:sz w:val="24"/>
                <w:szCs w:val="24"/>
                <w:lang w:val="en-US" w:eastAsia="zh-CN" w:bidi="ar-SA"/>
              </w:rPr>
              <w:t>沪上红色资源调查与数字传承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C0C8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  <w:t>1.5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D4AB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562D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B33C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A929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"/>
              </w:rPr>
              <w:t>混合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E64E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第1学年（春）</w:t>
            </w:r>
          </w:p>
        </w:tc>
      </w:tr>
      <w:tr w14:paraId="3B2E5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91AE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2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4825D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华文仿宋" w:hAnsi="华文仿宋" w:eastAsia="华文仿宋" w:cs="华文仿宋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napToGrid w:val="0"/>
                <w:color w:val="000000"/>
                <w:sz w:val="24"/>
                <w:szCs w:val="24"/>
                <w:lang w:val="en-US" w:eastAsia="zh-CN" w:bidi="ar-SA"/>
              </w:rPr>
              <w:t>文旅大数据实战与消费行为洞察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9ACF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1.5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FDB8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FF4FE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1221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8775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"/>
              </w:rPr>
              <w:t>混合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9E31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第1学年（春）</w:t>
            </w:r>
          </w:p>
        </w:tc>
      </w:tr>
      <w:tr w14:paraId="50575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05BE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2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B0FC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华文仿宋" w:hAnsi="华文仿宋" w:eastAsia="华文仿宋" w:cs="华文仿宋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  <w:lang w:val="en-US" w:eastAsia="zh-CN"/>
              </w:rPr>
              <w:t>文旅IP开发与运营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0CE2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1.5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8EB3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4F5F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EBC6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CC86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"/>
              </w:rPr>
              <w:t>混合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E88E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第1学年（春）</w:t>
            </w:r>
          </w:p>
        </w:tc>
      </w:tr>
      <w:tr w14:paraId="7304E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4A39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2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D207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华文仿宋" w:hAnsi="华文仿宋" w:eastAsia="华文仿宋" w:cs="华文仿宋"/>
                <w:sz w:val="24"/>
                <w:szCs w:val="24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  <w:lang w:val="en-US"/>
              </w:rPr>
              <w:t>国际邮轮文旅产品设计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8838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default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1.5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0DC9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4B64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11EC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60CE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"/>
              </w:rPr>
              <w:t>混合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6609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第1学年（夏）</w:t>
            </w:r>
          </w:p>
        </w:tc>
      </w:tr>
      <w:tr w14:paraId="7A136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8E46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2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D859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华文仿宋" w:hAnsi="华文仿宋" w:eastAsia="华文仿宋" w:cs="华文仿宋"/>
                <w:sz w:val="24"/>
                <w:szCs w:val="24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sz w:val="24"/>
                <w:szCs w:val="24"/>
                <w:lang w:val="en-US"/>
              </w:rPr>
              <w:t>数智文旅项目实战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425F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default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1.5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DC55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default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2DDF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default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CAD9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default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CDDD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"/>
              </w:rPr>
              <w:t>混合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4886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第1学年（夏）</w:t>
            </w:r>
          </w:p>
        </w:tc>
      </w:tr>
      <w:tr w14:paraId="39911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2DBE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</w:p>
        </w:tc>
        <w:tc>
          <w:tcPr>
            <w:tcW w:w="2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CE94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合计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85D4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6B41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default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192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7C06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default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  <w:t>84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7EAF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aseline"/>
              <w:rPr>
                <w:rFonts w:hint="default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sz w:val="24"/>
                <w:szCs w:val="24"/>
                <w:lang w:val="en-US" w:eastAsia="zh-CN" w:bidi="ar-SA"/>
              </w:rPr>
              <w:t>108</w:t>
            </w:r>
          </w:p>
        </w:tc>
        <w:tc>
          <w:tcPr>
            <w:tcW w:w="1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8F71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-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A8D5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-</w:t>
            </w:r>
          </w:p>
        </w:tc>
      </w:tr>
      <w:tr w14:paraId="451C2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0" w:hRule="atLeast"/>
          <w:jc w:val="center"/>
        </w:trPr>
        <w:tc>
          <w:tcPr>
            <w:tcW w:w="169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BF8A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/>
                <w:bCs w:val="0"/>
                <w:spacing w:val="2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"/>
              </w:rPr>
              <w:t>课程</w:t>
            </w:r>
          </w:p>
          <w:p w14:paraId="255771C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/>
                <w:bCs w:val="0"/>
                <w:spacing w:val="2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"/>
              </w:rPr>
              <w:t>简介</w:t>
            </w:r>
          </w:p>
        </w:tc>
        <w:tc>
          <w:tcPr>
            <w:tcW w:w="80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B63F82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60" w:firstLineChars="200"/>
              <w:textAlignment w:val="baseline"/>
              <w:outlineLvl w:val="1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1.数字文旅前沿·上海案例</w:t>
            </w:r>
          </w:p>
          <w:p w14:paraId="7876156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60" w:firstLineChars="200"/>
              <w:textAlignment w:val="baseline"/>
              <w:outlineLvl w:val="1"/>
              <w:rPr>
                <w:rFonts w:hint="eastAsia" w:ascii="华文仿宋" w:hAnsi="华文仿宋" w:eastAsia="华文仿宋" w:cs="华文仿宋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本课程是微专业的导论与认知基石，旨在帮助学生建立对数字文旅的整体认知框架，并以上海为具体样本，深入理解数字化如何重塑城市文旅生态。课程系统梳理数字文旅的技术体系、政策环境与产业趋势，重点聚焦上海“一江一河”文旅带、乐游上海智慧平台、迪士尼数字化体验、B站与二次元文旅经济、中共一大数字展陈等前沿案例。课程采用“政策解读+平台拆解+实地参访”相结合的教学方式，带领学生走进真实文旅场景。帮助学生快速进入数智文旅的实战语境。</w:t>
            </w:r>
          </w:p>
        </w:tc>
      </w:tr>
      <w:tr w14:paraId="42405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0" w:hRule="atLeast"/>
          <w:jc w:val="center"/>
        </w:trPr>
        <w:tc>
          <w:tcPr>
            <w:tcW w:w="169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B6A1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textAlignment w:val="baseline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EE4F16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60" w:firstLineChars="200"/>
              <w:textAlignment w:val="baseline"/>
              <w:outlineLvl w:val="1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2.城市文化叙事与Citywalk策划</w:t>
            </w:r>
          </w:p>
          <w:p w14:paraId="50D7CD2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60" w:firstLineChars="200"/>
              <w:textAlignment w:val="baseline"/>
              <w:outlineLvl w:val="1"/>
              <w:rPr>
                <w:rFonts w:hint="eastAsia" w:ascii="华文仿宋" w:hAnsi="华文仿宋" w:eastAsia="华文仿宋" w:cs="华文仿宋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课程致力于为学生们提供从文化洞察到创意落地的全流程实战训练。课程内容贯穿海派文化解码、叙事主题策划、文创周边开发、社群营销与商业逻辑等关键要素。课堂将深度剖析武康大楼“建筑阅读”与苏州河工业遗产更新等前沿案例。课程引入业界导师指导与项目实战模拟教学，让学生在真实街区情境中完成策划训练。无论学员是期望在各类创新创业、文旅策划竞赛中脱颖而出，还是为未来的文商旅项目孵化积累经验，本课程都将提供前瞻性的行业思维与扎实的专业技能支持，助力优质创意真正落地。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696A9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5" w:hRule="atLeast"/>
          <w:jc w:val="center"/>
        </w:trPr>
        <w:tc>
          <w:tcPr>
            <w:tcW w:w="169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4261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textAlignment w:val="baseline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9483ED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60" w:firstLineChars="200"/>
              <w:textAlignment w:val="baseline"/>
              <w:outlineLvl w:val="1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3.人工智能与非遗创意设计</w:t>
            </w:r>
          </w:p>
          <w:p w14:paraId="03CF7A9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60" w:firstLineChars="200"/>
              <w:textAlignment w:val="baseline"/>
              <w:outlineLvl w:val="1"/>
              <w:rPr>
                <w:rFonts w:hint="eastAsia" w:ascii="华文仿宋" w:hAnsi="华文仿宋" w:eastAsia="华文仿宋" w:cs="华文仿宋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课程聚焦生成式人工智能（AIGC）技术在非物质文化遗产（非遗）IP重构与创新传播中的应用，是“数智文旅”方向的核心课程之一。课程以“技术+文化+传播”三位一体为理念，基于国内外“非遗+AI”的典型应用案例，系统讲授如何运用ChatGPT、Midjourney等生成式AI工具，对传统非遗进行内容挖掘、视觉重构、叙事再造和文旅产品转化。课程采用案例教学与上机实操相结合的方式，在真实非遗项目中完成AI工具的应用训练。 同时学习AI介入非遗保护传承的伦理及风险。</w:t>
            </w:r>
          </w:p>
        </w:tc>
      </w:tr>
      <w:tr w14:paraId="0C8D2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  <w:jc w:val="center"/>
        </w:trPr>
        <w:tc>
          <w:tcPr>
            <w:tcW w:w="169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870E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textAlignment w:val="baseline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A5BAA4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60" w:firstLineChars="200"/>
              <w:textAlignment w:val="baseline"/>
              <w:outlineLvl w:val="1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4.沪上红色资源调查与数字传承</w:t>
            </w:r>
          </w:p>
          <w:p w14:paraId="26A7FD3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60" w:firstLineChars="200"/>
              <w:textAlignment w:val="baseline"/>
              <w:outlineLvl w:val="1"/>
              <w:rPr>
                <w:rFonts w:hint="eastAsia" w:ascii="华文仿宋" w:hAnsi="华文仿宋" w:eastAsia="华文仿宋" w:cs="华文仿宋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课程旨在锤炼学生文化思辨素养与红色文化创新传播能力，提升学生的文化传承与文旅创新实践能力。本课程立足上海本土红色文化资源，聚焦红色文化数字化保护与创新传播。课程以沪上红色旅游田野调研为核心，辅以红色文旅资源普查、实地走访调研等专业方法，并融入红色资源数字化留存保护相关知识。课程采用“理论讲授+实地调研+创意实操”三位一体的教学模式，组织学生走进红色场馆开展田野调查。 学生可围绕上海红色文旅微课题，完成调研、梳理、创意产出全流程学习。</w:t>
            </w:r>
          </w:p>
        </w:tc>
      </w:tr>
      <w:tr w14:paraId="2B9D3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8" w:hRule="atLeast"/>
          <w:jc w:val="center"/>
        </w:trPr>
        <w:tc>
          <w:tcPr>
            <w:tcW w:w="169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BA2E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textAlignment w:val="baseline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5D955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60" w:firstLineChars="200"/>
              <w:textAlignment w:val="baseline"/>
              <w:outlineLvl w:val="1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5.文旅大数据实战与消费行为洞察</w:t>
            </w:r>
          </w:p>
          <w:p w14:paraId="09F6BBF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60" w:firstLineChars="200"/>
              <w:textAlignment w:val="baseline"/>
              <w:outlineLvl w:val="1"/>
              <w:rPr>
                <w:rFonts w:hint="eastAsia" w:ascii="华文仿宋" w:hAnsi="华文仿宋" w:eastAsia="华文仿宋" w:cs="华文仿宋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课程旨在培养学生在数字文旅时代，利用数据分析解决实际问题的能力。课程融合一手消费者研究与公开数据分析，内容包括：文旅多源数据采集、消费者画像构建、舆情情感分析、文旅消费趋势预测。课程采用“基础概念讲授+实践项目+机房操作”相结合的教学形式，在真实或模拟数据集中完成分析训练。 学生将能够：理解大数据在文旅消费决策中的底层逻辑，能够将模糊的消费现象转化为清晰的数据分析维度；能够针对具体的文旅消费问题，设计出小型的市场调研方案；能够将数据分析结果转化为有价值的消费者洞察，并撰写出逻辑清晰、观点明确的分析报告。</w:t>
            </w:r>
          </w:p>
        </w:tc>
      </w:tr>
      <w:tr w14:paraId="447E5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1" w:hRule="atLeast"/>
          <w:jc w:val="center"/>
        </w:trPr>
        <w:tc>
          <w:tcPr>
            <w:tcW w:w="169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552F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textAlignment w:val="baseline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AFB13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60" w:firstLineChars="200"/>
              <w:textAlignment w:val="baseline"/>
              <w:outlineLvl w:val="1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6.国际邮轮文旅产品设计</w:t>
            </w:r>
          </w:p>
          <w:p w14:paraId="5FAC3EB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60" w:firstLineChars="200"/>
              <w:textAlignment w:val="baseline"/>
              <w:outlineLvl w:val="1"/>
              <w:rPr>
                <w:rFonts w:hint="eastAsia" w:ascii="华文仿宋" w:hAnsi="华文仿宋" w:eastAsia="华文仿宋" w:cs="华文仿宋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课程立足国际邮轮行业与文旅融合发展方向，聚焦邮轮文旅产品策划与设计核心内容。课程围绕邮轮文旅产品开发、航线与岸上文旅项目设计、邮轮体验产品打造、产品推广思路等内容展开，课程采用“案例拆解+小组方案设计+课堂实操练习”相结合的教学方式，在模拟真实邮轮产品开发流程中完成策划训练。帮助学生掌握邮轮文旅产品从创意构思到方案成型的基本方法，提升产品设计、团队协作与实际问题解决能力，同时拓展国际视野，为从事文旅策划、邮轮产品相关工作打下实用基础。</w:t>
            </w:r>
          </w:p>
        </w:tc>
      </w:tr>
      <w:tr w14:paraId="2CF1D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1" w:hRule="atLeast"/>
          <w:jc w:val="center"/>
        </w:trPr>
        <w:tc>
          <w:tcPr>
            <w:tcW w:w="0" w:type="auto"/>
            <w:gridSpan w:val="2"/>
            <w:shd w:val="clear" w:color="auto" w:fill="auto"/>
          </w:tcPr>
          <w:p w14:paraId="039103C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textAlignment w:val="baseline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shd w:val="clear" w:color="auto" w:fill="auto"/>
            <w:vAlign w:val="top"/>
          </w:tcPr>
          <w:p w14:paraId="0E8CFE1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60" w:firstLineChars="200"/>
              <w:textAlignment w:val="baseline"/>
              <w:outlineLvl w:val="1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7.文旅IP开发与运营</w:t>
            </w:r>
          </w:p>
          <w:p w14:paraId="4E714BF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60" w:firstLineChars="200"/>
              <w:textAlignment w:val="baseline"/>
              <w:outlineLvl w:val="1"/>
              <w:rPr>
                <w:rFonts w:hint="eastAsia" w:ascii="华文仿宋" w:hAnsi="华文仿宋" w:eastAsia="华文仿宋" w:cs="华文仿宋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本课程聚焦文旅产业中最具商业价值与传播力的核心环节——IP的构建与长效运营。课程以“文化资源→IP原型→衍生产品→品牌生态”为主线，帮助学生掌握从零到一打造文旅IP的系统方法论。课程涵盖IP价值识别、文化元素提炼、故事化与视觉化表达、IP授权与衍生品开发、跨界联名与数字化运营等完整链路，以上海博物馆、迪士尼、豫园灯会、红色文创等为深度案例，拆解成功IP背后的用户洞察与商业逻辑。课程采用“案例拆解+方案设计+模拟路演”的教学模式，让学生在真实IP开发情境中完成策划训练。 同时设置博物馆IP专题模块，聚焦文博场景下的IP转化路径。</w:t>
            </w:r>
          </w:p>
        </w:tc>
      </w:tr>
      <w:tr w14:paraId="3623A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1" w:hRule="atLeast"/>
          <w:jc w:val="center"/>
        </w:trPr>
        <w:tc>
          <w:tcPr>
            <w:tcW w:w="0" w:type="auto"/>
            <w:gridSpan w:val="2"/>
            <w:shd w:val="clear" w:color="auto" w:fill="auto"/>
          </w:tcPr>
          <w:p w14:paraId="1CD86BE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textAlignment w:val="baseline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shd w:val="clear" w:color="auto" w:fill="auto"/>
            <w:vAlign w:val="top"/>
          </w:tcPr>
          <w:p w14:paraId="67E31BB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60" w:firstLineChars="200"/>
              <w:textAlignment w:val="baseline"/>
              <w:outlineLvl w:val="1"/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8.数智文旅项目实战</w:t>
            </w:r>
          </w:p>
          <w:p w14:paraId="3139313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60" w:firstLineChars="200"/>
              <w:textAlignment w:val="baseline"/>
              <w:outlineLvl w:val="1"/>
              <w:rPr>
                <w:rFonts w:hint="eastAsia" w:ascii="华文仿宋" w:hAnsi="华文仿宋" w:eastAsia="华文仿宋" w:cs="华文仿宋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课程为集中实战课，是前序课程的综合演练场。课程采用“项目制实战教学”模式，学生在真实或仿真的文旅场景中，完成从创意策划、数字内容生产、社交传播到数据复盘的全链路实操。 重点操练短视频矩阵搭建与多平台内容运营（涵盖微信、小红书、直播渠道），在“真项目、真平台、真数据”中掌握数智文旅项目的核心操作技能，并可对接各类创新竞赛。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  <w:lang w:eastAsia="zh-CN"/>
              </w:rPr>
              <w:t>——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竞赛结合</w:t>
            </w:r>
          </w:p>
        </w:tc>
      </w:tr>
    </w:tbl>
    <w:p w14:paraId="7AA6EC5E"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right="0" w:firstLine="1050" w:firstLineChars="500"/>
        <w:jc w:val="both"/>
        <w:textAlignment w:val="baseline"/>
        <w:rPr>
          <w:lang w:val="en-US"/>
        </w:rPr>
      </w:pPr>
    </w:p>
    <w:p w14:paraId="0232AF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30" w:firstLineChars="300"/>
        <w:textAlignment w:val="baseline"/>
      </w:pPr>
      <w:r>
        <w:rPr>
          <w:rFonts w:hint="eastAsia"/>
        </w:rPr>
        <w:t xml:space="preserve"> </w:t>
      </w:r>
      <w:r>
        <w:rPr>
          <w:rFonts w:hint="eastAsia" w:ascii="仿宋" w:hAnsi="仿宋" w:eastAsia="仿宋"/>
          <w:bCs/>
          <w:sz w:val="28"/>
          <w:szCs w:val="28"/>
        </w:rPr>
        <w:t>制定：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drawing>
          <wp:inline distT="0" distB="0" distL="114300" distR="114300">
            <wp:extent cx="568960" cy="336550"/>
            <wp:effectExtent l="0" t="0" r="2540" b="6350"/>
            <wp:docPr id="3" name="图片 3" descr="徐爱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徐爱萍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8960" cy="33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</w:t>
      </w:r>
      <w:r>
        <w:rPr>
          <w:rFonts w:ascii="仿宋" w:hAnsi="仿宋" w:eastAsia="仿宋"/>
          <w:bCs/>
          <w:sz w:val="28"/>
          <w:szCs w:val="28"/>
        </w:rPr>
        <w:t xml:space="preserve">  审核：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drawing>
          <wp:inline distT="0" distB="0" distL="114300" distR="114300">
            <wp:extent cx="928370" cy="399415"/>
            <wp:effectExtent l="0" t="0" r="0" b="0"/>
            <wp:docPr id="2" name="图片 2" descr="潘海兰签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潘海兰签字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28370" cy="39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</w:t>
      </w:r>
      <w:r>
        <w:rPr>
          <w:rFonts w:ascii="仿宋" w:hAnsi="仿宋" w:eastAsia="仿宋"/>
          <w:bCs/>
          <w:sz w:val="28"/>
          <w:szCs w:val="28"/>
        </w:rPr>
        <w:t xml:space="preserve"> 审批：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</w:t>
      </w:r>
    </w:p>
    <w:sectPr>
      <w:pgSz w:w="11906" w:h="16839"/>
      <w:pgMar w:top="1426" w:right="1650" w:bottom="1417" w:left="1687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7E4A90A-4D3C-4A35-8345-AF22D50B38D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91716C93-45A5-4FB4-BCA2-2DDAED41B3E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F72A164-E3B9-4AE1-907A-4AE0DE29582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C4C47EDB-5E10-4943-A641-AED324802AE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3578EAD7-6D24-4F61-A385-BE29F8B1C935}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861543"/>
    <w:multiLevelType w:val="singleLevel"/>
    <w:tmpl w:val="8B861543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4NTFjZjQ1NDljMzJmMjgxNzQ3OGJkNjNiYzM0MmUifQ=="/>
  </w:docVars>
  <w:rsids>
    <w:rsidRoot w:val="23F12191"/>
    <w:rsid w:val="00386BFE"/>
    <w:rsid w:val="004A5887"/>
    <w:rsid w:val="00550909"/>
    <w:rsid w:val="009D644D"/>
    <w:rsid w:val="00B803CC"/>
    <w:rsid w:val="014B3BAE"/>
    <w:rsid w:val="01F5683B"/>
    <w:rsid w:val="024E35CB"/>
    <w:rsid w:val="024F6455"/>
    <w:rsid w:val="027A47EA"/>
    <w:rsid w:val="02A6563F"/>
    <w:rsid w:val="02D427E2"/>
    <w:rsid w:val="03030534"/>
    <w:rsid w:val="0339653A"/>
    <w:rsid w:val="0388526F"/>
    <w:rsid w:val="038D7CA9"/>
    <w:rsid w:val="03E8581E"/>
    <w:rsid w:val="03F43E1B"/>
    <w:rsid w:val="04137DFA"/>
    <w:rsid w:val="042154D8"/>
    <w:rsid w:val="042331FA"/>
    <w:rsid w:val="04553335"/>
    <w:rsid w:val="045961AA"/>
    <w:rsid w:val="04B06256"/>
    <w:rsid w:val="053131B6"/>
    <w:rsid w:val="0533050D"/>
    <w:rsid w:val="054F4E8B"/>
    <w:rsid w:val="057562CC"/>
    <w:rsid w:val="05D4128C"/>
    <w:rsid w:val="06383431"/>
    <w:rsid w:val="06462115"/>
    <w:rsid w:val="06602A34"/>
    <w:rsid w:val="06A81285"/>
    <w:rsid w:val="06BE589E"/>
    <w:rsid w:val="06D07D3E"/>
    <w:rsid w:val="073E67A6"/>
    <w:rsid w:val="074968F3"/>
    <w:rsid w:val="07505273"/>
    <w:rsid w:val="07A1396F"/>
    <w:rsid w:val="07AB6351"/>
    <w:rsid w:val="07CF3593"/>
    <w:rsid w:val="07D03331"/>
    <w:rsid w:val="08095D15"/>
    <w:rsid w:val="08985EE6"/>
    <w:rsid w:val="089A5C82"/>
    <w:rsid w:val="08CA57F9"/>
    <w:rsid w:val="08D16912"/>
    <w:rsid w:val="08D71F64"/>
    <w:rsid w:val="091B4F89"/>
    <w:rsid w:val="091F093A"/>
    <w:rsid w:val="094D1763"/>
    <w:rsid w:val="09864B2E"/>
    <w:rsid w:val="09A15A8E"/>
    <w:rsid w:val="09C131B4"/>
    <w:rsid w:val="0A123199"/>
    <w:rsid w:val="0A592016"/>
    <w:rsid w:val="0A7A1CA8"/>
    <w:rsid w:val="0A901797"/>
    <w:rsid w:val="0AAF11FE"/>
    <w:rsid w:val="0AB205DB"/>
    <w:rsid w:val="0ACE4158"/>
    <w:rsid w:val="0AFF4FAB"/>
    <w:rsid w:val="0B8A357C"/>
    <w:rsid w:val="0B972534"/>
    <w:rsid w:val="0BCC78FE"/>
    <w:rsid w:val="0BDB4E67"/>
    <w:rsid w:val="0BDE0CED"/>
    <w:rsid w:val="0C2C533C"/>
    <w:rsid w:val="0C5354E3"/>
    <w:rsid w:val="0C8819BC"/>
    <w:rsid w:val="0C96677E"/>
    <w:rsid w:val="0CA613B2"/>
    <w:rsid w:val="0CB47770"/>
    <w:rsid w:val="0D0259B3"/>
    <w:rsid w:val="0D1F0665"/>
    <w:rsid w:val="0D395A71"/>
    <w:rsid w:val="0DDF416F"/>
    <w:rsid w:val="0DFC6130"/>
    <w:rsid w:val="0E0C2150"/>
    <w:rsid w:val="0E22259E"/>
    <w:rsid w:val="0E2801E3"/>
    <w:rsid w:val="0EAA3D0C"/>
    <w:rsid w:val="0F0D267A"/>
    <w:rsid w:val="0F2622AC"/>
    <w:rsid w:val="0F301969"/>
    <w:rsid w:val="0F3824CB"/>
    <w:rsid w:val="0F7B4598"/>
    <w:rsid w:val="0F9A7733"/>
    <w:rsid w:val="0FAF0EC3"/>
    <w:rsid w:val="0FB919C3"/>
    <w:rsid w:val="0FC90574"/>
    <w:rsid w:val="0FF23889"/>
    <w:rsid w:val="103123D8"/>
    <w:rsid w:val="1046079C"/>
    <w:rsid w:val="10564DA4"/>
    <w:rsid w:val="105E4878"/>
    <w:rsid w:val="10A44CFF"/>
    <w:rsid w:val="10EE5C2B"/>
    <w:rsid w:val="1106002B"/>
    <w:rsid w:val="11141E33"/>
    <w:rsid w:val="11157843"/>
    <w:rsid w:val="111E7E02"/>
    <w:rsid w:val="11424912"/>
    <w:rsid w:val="117E76A9"/>
    <w:rsid w:val="118E5B7A"/>
    <w:rsid w:val="11D71D98"/>
    <w:rsid w:val="11E02E62"/>
    <w:rsid w:val="11F0016B"/>
    <w:rsid w:val="120F20E7"/>
    <w:rsid w:val="126F44C7"/>
    <w:rsid w:val="12760F74"/>
    <w:rsid w:val="12A2138E"/>
    <w:rsid w:val="12D90842"/>
    <w:rsid w:val="137C5108"/>
    <w:rsid w:val="137F33EE"/>
    <w:rsid w:val="139413AD"/>
    <w:rsid w:val="13961073"/>
    <w:rsid w:val="13C51436"/>
    <w:rsid w:val="140B4A01"/>
    <w:rsid w:val="141906F7"/>
    <w:rsid w:val="14262ECA"/>
    <w:rsid w:val="143F31C0"/>
    <w:rsid w:val="146D55B8"/>
    <w:rsid w:val="151D5814"/>
    <w:rsid w:val="153C04EE"/>
    <w:rsid w:val="15B21876"/>
    <w:rsid w:val="15B87933"/>
    <w:rsid w:val="15C72025"/>
    <w:rsid w:val="15FA4C87"/>
    <w:rsid w:val="1600387F"/>
    <w:rsid w:val="166E6A80"/>
    <w:rsid w:val="16726430"/>
    <w:rsid w:val="168E1A38"/>
    <w:rsid w:val="16BB0932"/>
    <w:rsid w:val="16D71099"/>
    <w:rsid w:val="16EA3E42"/>
    <w:rsid w:val="170366C8"/>
    <w:rsid w:val="170A0AD9"/>
    <w:rsid w:val="172070BE"/>
    <w:rsid w:val="17331EF5"/>
    <w:rsid w:val="1753334E"/>
    <w:rsid w:val="17626BE9"/>
    <w:rsid w:val="18036349"/>
    <w:rsid w:val="180B3DD3"/>
    <w:rsid w:val="183F7018"/>
    <w:rsid w:val="18483086"/>
    <w:rsid w:val="18520002"/>
    <w:rsid w:val="18702BA7"/>
    <w:rsid w:val="18A71FFA"/>
    <w:rsid w:val="18AA1BE3"/>
    <w:rsid w:val="18BC424E"/>
    <w:rsid w:val="18C13F65"/>
    <w:rsid w:val="18E6206E"/>
    <w:rsid w:val="19124ACB"/>
    <w:rsid w:val="19181FA1"/>
    <w:rsid w:val="19212B00"/>
    <w:rsid w:val="1951353C"/>
    <w:rsid w:val="19516E36"/>
    <w:rsid w:val="199D7494"/>
    <w:rsid w:val="19CA5D11"/>
    <w:rsid w:val="19CC716F"/>
    <w:rsid w:val="1A0B7A69"/>
    <w:rsid w:val="1A435739"/>
    <w:rsid w:val="1A9F4803"/>
    <w:rsid w:val="1B335826"/>
    <w:rsid w:val="1B63190B"/>
    <w:rsid w:val="1BA75385"/>
    <w:rsid w:val="1BD731F8"/>
    <w:rsid w:val="1C0A2F05"/>
    <w:rsid w:val="1C194361"/>
    <w:rsid w:val="1C406DD9"/>
    <w:rsid w:val="1C5371A0"/>
    <w:rsid w:val="1C642F75"/>
    <w:rsid w:val="1C6C788C"/>
    <w:rsid w:val="1C9F3647"/>
    <w:rsid w:val="1D120ED0"/>
    <w:rsid w:val="1D1C1B40"/>
    <w:rsid w:val="1D35418E"/>
    <w:rsid w:val="1D9E3C74"/>
    <w:rsid w:val="1E022164"/>
    <w:rsid w:val="1E022C6D"/>
    <w:rsid w:val="1E4C2FFB"/>
    <w:rsid w:val="1E5B312A"/>
    <w:rsid w:val="1EA0706C"/>
    <w:rsid w:val="1EBA7751"/>
    <w:rsid w:val="1ED57175"/>
    <w:rsid w:val="1ED65854"/>
    <w:rsid w:val="1F087493"/>
    <w:rsid w:val="1F323E7D"/>
    <w:rsid w:val="1F652198"/>
    <w:rsid w:val="1F995197"/>
    <w:rsid w:val="1FB6154B"/>
    <w:rsid w:val="1FBC1120"/>
    <w:rsid w:val="1FF558E6"/>
    <w:rsid w:val="1FFC4E95"/>
    <w:rsid w:val="20321D4D"/>
    <w:rsid w:val="20412D34"/>
    <w:rsid w:val="207B769A"/>
    <w:rsid w:val="209F1454"/>
    <w:rsid w:val="20C23F81"/>
    <w:rsid w:val="20F2676A"/>
    <w:rsid w:val="210934E9"/>
    <w:rsid w:val="21164172"/>
    <w:rsid w:val="21333F13"/>
    <w:rsid w:val="214F21EB"/>
    <w:rsid w:val="217951ED"/>
    <w:rsid w:val="21A74F44"/>
    <w:rsid w:val="21C94A03"/>
    <w:rsid w:val="21F171B4"/>
    <w:rsid w:val="21FC2325"/>
    <w:rsid w:val="220B5695"/>
    <w:rsid w:val="22547BF5"/>
    <w:rsid w:val="2271791D"/>
    <w:rsid w:val="229B303C"/>
    <w:rsid w:val="229C7338"/>
    <w:rsid w:val="22F4611A"/>
    <w:rsid w:val="231D3DCB"/>
    <w:rsid w:val="23261234"/>
    <w:rsid w:val="233914D1"/>
    <w:rsid w:val="23486972"/>
    <w:rsid w:val="235503B8"/>
    <w:rsid w:val="237D3D24"/>
    <w:rsid w:val="23F12191"/>
    <w:rsid w:val="23F913FB"/>
    <w:rsid w:val="240F6E43"/>
    <w:rsid w:val="24280929"/>
    <w:rsid w:val="248F7EC7"/>
    <w:rsid w:val="257E6994"/>
    <w:rsid w:val="2583557C"/>
    <w:rsid w:val="25867447"/>
    <w:rsid w:val="258E4F9B"/>
    <w:rsid w:val="25CD0760"/>
    <w:rsid w:val="260105FE"/>
    <w:rsid w:val="2680142A"/>
    <w:rsid w:val="26B34735"/>
    <w:rsid w:val="26B532A9"/>
    <w:rsid w:val="26D25C1B"/>
    <w:rsid w:val="26D9216F"/>
    <w:rsid w:val="270F0303"/>
    <w:rsid w:val="27123047"/>
    <w:rsid w:val="2760246C"/>
    <w:rsid w:val="277656E2"/>
    <w:rsid w:val="27C41B21"/>
    <w:rsid w:val="27EE58EA"/>
    <w:rsid w:val="28171846"/>
    <w:rsid w:val="28373A74"/>
    <w:rsid w:val="28581BFA"/>
    <w:rsid w:val="2860659E"/>
    <w:rsid w:val="28643642"/>
    <w:rsid w:val="28803637"/>
    <w:rsid w:val="288B6B81"/>
    <w:rsid w:val="28BA728D"/>
    <w:rsid w:val="28F76B7B"/>
    <w:rsid w:val="291C3A01"/>
    <w:rsid w:val="29322E67"/>
    <w:rsid w:val="294164C0"/>
    <w:rsid w:val="295D7263"/>
    <w:rsid w:val="29614E04"/>
    <w:rsid w:val="29C3742D"/>
    <w:rsid w:val="2A251D9B"/>
    <w:rsid w:val="2A3D7C14"/>
    <w:rsid w:val="2A426688"/>
    <w:rsid w:val="2B1D44E8"/>
    <w:rsid w:val="2B9C2CF0"/>
    <w:rsid w:val="2BDA3D94"/>
    <w:rsid w:val="2BEE632D"/>
    <w:rsid w:val="2C1B718B"/>
    <w:rsid w:val="2C1E32D9"/>
    <w:rsid w:val="2C4D4DB5"/>
    <w:rsid w:val="2C9A0EFF"/>
    <w:rsid w:val="2C9C400B"/>
    <w:rsid w:val="2CA104AD"/>
    <w:rsid w:val="2CBC6D0E"/>
    <w:rsid w:val="2CD523AB"/>
    <w:rsid w:val="2CFD6D94"/>
    <w:rsid w:val="2D1050BA"/>
    <w:rsid w:val="2D1D20E7"/>
    <w:rsid w:val="2D264A73"/>
    <w:rsid w:val="2D3842EF"/>
    <w:rsid w:val="2D6B4704"/>
    <w:rsid w:val="2D7271DE"/>
    <w:rsid w:val="2D7324F7"/>
    <w:rsid w:val="2D835935"/>
    <w:rsid w:val="2D836955"/>
    <w:rsid w:val="2D9B3E37"/>
    <w:rsid w:val="2D9F5C44"/>
    <w:rsid w:val="2DE0797C"/>
    <w:rsid w:val="2DE27A94"/>
    <w:rsid w:val="2DFA5BDA"/>
    <w:rsid w:val="2E111ABC"/>
    <w:rsid w:val="2E1E3ED6"/>
    <w:rsid w:val="2E4B19F1"/>
    <w:rsid w:val="2E733013"/>
    <w:rsid w:val="2E9E7F46"/>
    <w:rsid w:val="2EA62C2B"/>
    <w:rsid w:val="2F115A99"/>
    <w:rsid w:val="2F121C2A"/>
    <w:rsid w:val="2F31128A"/>
    <w:rsid w:val="2F3E4641"/>
    <w:rsid w:val="2F4654B7"/>
    <w:rsid w:val="2F520392"/>
    <w:rsid w:val="2F5705DA"/>
    <w:rsid w:val="2F8F342B"/>
    <w:rsid w:val="2FD0663F"/>
    <w:rsid w:val="2FE61568"/>
    <w:rsid w:val="2FF919F0"/>
    <w:rsid w:val="30212F84"/>
    <w:rsid w:val="305B1C08"/>
    <w:rsid w:val="30626519"/>
    <w:rsid w:val="30683D2E"/>
    <w:rsid w:val="307769DF"/>
    <w:rsid w:val="307E0102"/>
    <w:rsid w:val="30F024BA"/>
    <w:rsid w:val="31184106"/>
    <w:rsid w:val="31AE283C"/>
    <w:rsid w:val="31BA7D0B"/>
    <w:rsid w:val="31EE1FC8"/>
    <w:rsid w:val="31F97723"/>
    <w:rsid w:val="32057829"/>
    <w:rsid w:val="32444E8E"/>
    <w:rsid w:val="326C7B88"/>
    <w:rsid w:val="3295148D"/>
    <w:rsid w:val="32AB2BE4"/>
    <w:rsid w:val="32C03A29"/>
    <w:rsid w:val="32EF07D9"/>
    <w:rsid w:val="331F7210"/>
    <w:rsid w:val="337478C3"/>
    <w:rsid w:val="33D01E94"/>
    <w:rsid w:val="33DB1BE3"/>
    <w:rsid w:val="343E2B1E"/>
    <w:rsid w:val="34914367"/>
    <w:rsid w:val="34951C18"/>
    <w:rsid w:val="349C7BA0"/>
    <w:rsid w:val="349E12E8"/>
    <w:rsid w:val="34CF5DE6"/>
    <w:rsid w:val="34EA29BD"/>
    <w:rsid w:val="34FD572F"/>
    <w:rsid w:val="3582300C"/>
    <w:rsid w:val="35A17455"/>
    <w:rsid w:val="35C21C44"/>
    <w:rsid w:val="35C506A4"/>
    <w:rsid w:val="35E30B2B"/>
    <w:rsid w:val="35F5745E"/>
    <w:rsid w:val="36130816"/>
    <w:rsid w:val="361B310D"/>
    <w:rsid w:val="363124AF"/>
    <w:rsid w:val="36417A8B"/>
    <w:rsid w:val="364E00AC"/>
    <w:rsid w:val="366544D4"/>
    <w:rsid w:val="368220F2"/>
    <w:rsid w:val="36AD239D"/>
    <w:rsid w:val="36DE5071"/>
    <w:rsid w:val="37670435"/>
    <w:rsid w:val="37BF3978"/>
    <w:rsid w:val="37DD455D"/>
    <w:rsid w:val="386D24A0"/>
    <w:rsid w:val="391446A9"/>
    <w:rsid w:val="395F4AEE"/>
    <w:rsid w:val="39A13F0C"/>
    <w:rsid w:val="39AF3C1A"/>
    <w:rsid w:val="39D6044C"/>
    <w:rsid w:val="39DD3A9E"/>
    <w:rsid w:val="3A3667AD"/>
    <w:rsid w:val="3A50589F"/>
    <w:rsid w:val="3A594F9D"/>
    <w:rsid w:val="3A710E02"/>
    <w:rsid w:val="3A73511B"/>
    <w:rsid w:val="3A737B4C"/>
    <w:rsid w:val="3A8F3CEB"/>
    <w:rsid w:val="3A9A1051"/>
    <w:rsid w:val="3AA47AC3"/>
    <w:rsid w:val="3AE16EAE"/>
    <w:rsid w:val="3B0A5A02"/>
    <w:rsid w:val="3B604E98"/>
    <w:rsid w:val="3B677EEA"/>
    <w:rsid w:val="3B8E5352"/>
    <w:rsid w:val="3BB729EC"/>
    <w:rsid w:val="3BD70274"/>
    <w:rsid w:val="3BEF53FD"/>
    <w:rsid w:val="3BF10918"/>
    <w:rsid w:val="3C123FA5"/>
    <w:rsid w:val="3C3B6825"/>
    <w:rsid w:val="3C3E2D4F"/>
    <w:rsid w:val="3C3F5F54"/>
    <w:rsid w:val="3C62131B"/>
    <w:rsid w:val="3CDB5D63"/>
    <w:rsid w:val="3D197489"/>
    <w:rsid w:val="3D874055"/>
    <w:rsid w:val="3D9C18DF"/>
    <w:rsid w:val="3D9E0024"/>
    <w:rsid w:val="3DC54781"/>
    <w:rsid w:val="3DD925FE"/>
    <w:rsid w:val="3E13784E"/>
    <w:rsid w:val="3E3067F6"/>
    <w:rsid w:val="3E406F63"/>
    <w:rsid w:val="3E4560B8"/>
    <w:rsid w:val="3E462F83"/>
    <w:rsid w:val="3E5C7588"/>
    <w:rsid w:val="3ECD36BA"/>
    <w:rsid w:val="3F077A2A"/>
    <w:rsid w:val="3F1743FB"/>
    <w:rsid w:val="3F2576A6"/>
    <w:rsid w:val="3F6A4F8A"/>
    <w:rsid w:val="3F6C4F97"/>
    <w:rsid w:val="3FCA3FA8"/>
    <w:rsid w:val="3FD51AED"/>
    <w:rsid w:val="3FE0159B"/>
    <w:rsid w:val="3FE07084"/>
    <w:rsid w:val="400D214A"/>
    <w:rsid w:val="405A3441"/>
    <w:rsid w:val="40720451"/>
    <w:rsid w:val="410D3450"/>
    <w:rsid w:val="41171B44"/>
    <w:rsid w:val="41191B79"/>
    <w:rsid w:val="41307EC4"/>
    <w:rsid w:val="41457F5E"/>
    <w:rsid w:val="41A35643"/>
    <w:rsid w:val="41B44C64"/>
    <w:rsid w:val="41C65DEA"/>
    <w:rsid w:val="41D47CA5"/>
    <w:rsid w:val="41E127A4"/>
    <w:rsid w:val="41EA6591"/>
    <w:rsid w:val="420919B0"/>
    <w:rsid w:val="421130EC"/>
    <w:rsid w:val="423F17DF"/>
    <w:rsid w:val="42A56A72"/>
    <w:rsid w:val="42A63C6D"/>
    <w:rsid w:val="42B51F90"/>
    <w:rsid w:val="42B57DF6"/>
    <w:rsid w:val="42CD2946"/>
    <w:rsid w:val="42CF28CB"/>
    <w:rsid w:val="42D3798B"/>
    <w:rsid w:val="42FD7A5D"/>
    <w:rsid w:val="4310424B"/>
    <w:rsid w:val="43390BE3"/>
    <w:rsid w:val="435D7DED"/>
    <w:rsid w:val="437D33B9"/>
    <w:rsid w:val="4393019F"/>
    <w:rsid w:val="43A252C2"/>
    <w:rsid w:val="43C11903"/>
    <w:rsid w:val="43DD57BA"/>
    <w:rsid w:val="44110E90"/>
    <w:rsid w:val="44157203"/>
    <w:rsid w:val="444165DE"/>
    <w:rsid w:val="44B14B46"/>
    <w:rsid w:val="44F34F8D"/>
    <w:rsid w:val="4528220E"/>
    <w:rsid w:val="452D24C5"/>
    <w:rsid w:val="459F7BA4"/>
    <w:rsid w:val="460C2685"/>
    <w:rsid w:val="461C0CC4"/>
    <w:rsid w:val="46320E51"/>
    <w:rsid w:val="46382D77"/>
    <w:rsid w:val="46547211"/>
    <w:rsid w:val="46B67743"/>
    <w:rsid w:val="46F6000A"/>
    <w:rsid w:val="4738465F"/>
    <w:rsid w:val="479341EF"/>
    <w:rsid w:val="47C90463"/>
    <w:rsid w:val="4804200A"/>
    <w:rsid w:val="48042675"/>
    <w:rsid w:val="481608EC"/>
    <w:rsid w:val="4844494F"/>
    <w:rsid w:val="48AA1769"/>
    <w:rsid w:val="48C85918"/>
    <w:rsid w:val="48F54290"/>
    <w:rsid w:val="48F729B3"/>
    <w:rsid w:val="4902091E"/>
    <w:rsid w:val="490E512A"/>
    <w:rsid w:val="493A0F16"/>
    <w:rsid w:val="498A044E"/>
    <w:rsid w:val="499C2944"/>
    <w:rsid w:val="499C5679"/>
    <w:rsid w:val="4A0E5F87"/>
    <w:rsid w:val="4A1D2E20"/>
    <w:rsid w:val="4A266BD0"/>
    <w:rsid w:val="4A3B75F2"/>
    <w:rsid w:val="4A963A19"/>
    <w:rsid w:val="4AB95A6D"/>
    <w:rsid w:val="4AC9209B"/>
    <w:rsid w:val="4AD24CC0"/>
    <w:rsid w:val="4B0D687C"/>
    <w:rsid w:val="4B5736F2"/>
    <w:rsid w:val="4B880C50"/>
    <w:rsid w:val="4B886DB4"/>
    <w:rsid w:val="4B935ABE"/>
    <w:rsid w:val="4BC247C3"/>
    <w:rsid w:val="4BD956C2"/>
    <w:rsid w:val="4BE447A5"/>
    <w:rsid w:val="4BFC1C2B"/>
    <w:rsid w:val="4C007BEF"/>
    <w:rsid w:val="4C293A9C"/>
    <w:rsid w:val="4C8E5095"/>
    <w:rsid w:val="4CB46925"/>
    <w:rsid w:val="4CB76C16"/>
    <w:rsid w:val="4CF0288B"/>
    <w:rsid w:val="4D2411EC"/>
    <w:rsid w:val="4D5D1CB5"/>
    <w:rsid w:val="4D7D0565"/>
    <w:rsid w:val="4D8F2B85"/>
    <w:rsid w:val="4D9C7EBC"/>
    <w:rsid w:val="4DC45EAB"/>
    <w:rsid w:val="4E1B4301"/>
    <w:rsid w:val="4E307F7C"/>
    <w:rsid w:val="4E3D11C9"/>
    <w:rsid w:val="4E7A698F"/>
    <w:rsid w:val="4F265758"/>
    <w:rsid w:val="4F410A14"/>
    <w:rsid w:val="4F76142F"/>
    <w:rsid w:val="4F92730C"/>
    <w:rsid w:val="4F9C02DB"/>
    <w:rsid w:val="4F9F08D4"/>
    <w:rsid w:val="50755A4B"/>
    <w:rsid w:val="5087604B"/>
    <w:rsid w:val="50AB32EF"/>
    <w:rsid w:val="50B0187E"/>
    <w:rsid w:val="50CA6A1E"/>
    <w:rsid w:val="50D20BCD"/>
    <w:rsid w:val="50DB68F6"/>
    <w:rsid w:val="50F33056"/>
    <w:rsid w:val="511D64F1"/>
    <w:rsid w:val="512C6380"/>
    <w:rsid w:val="51624BA2"/>
    <w:rsid w:val="51BF36A0"/>
    <w:rsid w:val="51EB0D9D"/>
    <w:rsid w:val="51EE66D9"/>
    <w:rsid w:val="52050FC0"/>
    <w:rsid w:val="520F350C"/>
    <w:rsid w:val="522C0FFB"/>
    <w:rsid w:val="52D11E1E"/>
    <w:rsid w:val="52D42615"/>
    <w:rsid w:val="52F17382"/>
    <w:rsid w:val="531E7B73"/>
    <w:rsid w:val="532F0FFB"/>
    <w:rsid w:val="534368D5"/>
    <w:rsid w:val="53BE7A2D"/>
    <w:rsid w:val="53D37A03"/>
    <w:rsid w:val="53D459DC"/>
    <w:rsid w:val="54080B7F"/>
    <w:rsid w:val="544C473C"/>
    <w:rsid w:val="547579E4"/>
    <w:rsid w:val="548065D1"/>
    <w:rsid w:val="549159C5"/>
    <w:rsid w:val="54B05BEA"/>
    <w:rsid w:val="54B82E9C"/>
    <w:rsid w:val="54BC281B"/>
    <w:rsid w:val="54D10B22"/>
    <w:rsid w:val="54D9083A"/>
    <w:rsid w:val="54E7144F"/>
    <w:rsid w:val="55205DC9"/>
    <w:rsid w:val="553A7A06"/>
    <w:rsid w:val="554E14E8"/>
    <w:rsid w:val="557442AD"/>
    <w:rsid w:val="55A76EDC"/>
    <w:rsid w:val="55CC4FE1"/>
    <w:rsid w:val="55DC2E6C"/>
    <w:rsid w:val="55DF6CB9"/>
    <w:rsid w:val="56022237"/>
    <w:rsid w:val="56250FB4"/>
    <w:rsid w:val="5659011A"/>
    <w:rsid w:val="565C289A"/>
    <w:rsid w:val="56926F48"/>
    <w:rsid w:val="56A642C9"/>
    <w:rsid w:val="56C906D6"/>
    <w:rsid w:val="56F42C51"/>
    <w:rsid w:val="57102E02"/>
    <w:rsid w:val="578A5225"/>
    <w:rsid w:val="57EF1CB0"/>
    <w:rsid w:val="580532FA"/>
    <w:rsid w:val="581168F1"/>
    <w:rsid w:val="58495115"/>
    <w:rsid w:val="58530459"/>
    <w:rsid w:val="58582226"/>
    <w:rsid w:val="5873153D"/>
    <w:rsid w:val="587C2AFE"/>
    <w:rsid w:val="58874B26"/>
    <w:rsid w:val="58AE5B3F"/>
    <w:rsid w:val="58B8154B"/>
    <w:rsid w:val="58B90902"/>
    <w:rsid w:val="58D577D1"/>
    <w:rsid w:val="58DE150F"/>
    <w:rsid w:val="58FB7DEF"/>
    <w:rsid w:val="590A269D"/>
    <w:rsid w:val="5916107E"/>
    <w:rsid w:val="59351CF1"/>
    <w:rsid w:val="594D5C56"/>
    <w:rsid w:val="597573BF"/>
    <w:rsid w:val="597957BE"/>
    <w:rsid w:val="598C271A"/>
    <w:rsid w:val="59B711DC"/>
    <w:rsid w:val="59C90176"/>
    <w:rsid w:val="5A017994"/>
    <w:rsid w:val="5A0E65ED"/>
    <w:rsid w:val="5A4A1374"/>
    <w:rsid w:val="5A6168AE"/>
    <w:rsid w:val="5AD81A64"/>
    <w:rsid w:val="5B150B10"/>
    <w:rsid w:val="5B1A411E"/>
    <w:rsid w:val="5B7060B0"/>
    <w:rsid w:val="5BBA73A7"/>
    <w:rsid w:val="5BFE302C"/>
    <w:rsid w:val="5C411C55"/>
    <w:rsid w:val="5C8B6970"/>
    <w:rsid w:val="5CB21C12"/>
    <w:rsid w:val="5CB93E88"/>
    <w:rsid w:val="5CCC43B8"/>
    <w:rsid w:val="5D2932B5"/>
    <w:rsid w:val="5D2D6BE4"/>
    <w:rsid w:val="5D396A10"/>
    <w:rsid w:val="5D3B7329"/>
    <w:rsid w:val="5DAE1AF2"/>
    <w:rsid w:val="5DDC0D23"/>
    <w:rsid w:val="5DF74A50"/>
    <w:rsid w:val="5E121FFC"/>
    <w:rsid w:val="5E2107E5"/>
    <w:rsid w:val="5E581377"/>
    <w:rsid w:val="5E5B042A"/>
    <w:rsid w:val="5E8771B2"/>
    <w:rsid w:val="5E966052"/>
    <w:rsid w:val="5EC6133A"/>
    <w:rsid w:val="5ED65B86"/>
    <w:rsid w:val="5F172506"/>
    <w:rsid w:val="5F1C3E25"/>
    <w:rsid w:val="5F1D381F"/>
    <w:rsid w:val="5F3530B2"/>
    <w:rsid w:val="5F847ED4"/>
    <w:rsid w:val="5FEB3D02"/>
    <w:rsid w:val="601A1701"/>
    <w:rsid w:val="607C6CF8"/>
    <w:rsid w:val="60B24B16"/>
    <w:rsid w:val="61111D8A"/>
    <w:rsid w:val="614C674F"/>
    <w:rsid w:val="61873694"/>
    <w:rsid w:val="619B757F"/>
    <w:rsid w:val="61A410AE"/>
    <w:rsid w:val="61A429C3"/>
    <w:rsid w:val="61BB5110"/>
    <w:rsid w:val="6206622A"/>
    <w:rsid w:val="6235657E"/>
    <w:rsid w:val="623F5623"/>
    <w:rsid w:val="62555FF4"/>
    <w:rsid w:val="62587B07"/>
    <w:rsid w:val="62723853"/>
    <w:rsid w:val="62786DCD"/>
    <w:rsid w:val="628A1AFC"/>
    <w:rsid w:val="62A46751"/>
    <w:rsid w:val="62A96C7E"/>
    <w:rsid w:val="62B022C4"/>
    <w:rsid w:val="62B10220"/>
    <w:rsid w:val="62B764F8"/>
    <w:rsid w:val="62C96431"/>
    <w:rsid w:val="62F33A7C"/>
    <w:rsid w:val="63981749"/>
    <w:rsid w:val="63A87E26"/>
    <w:rsid w:val="63DF6F30"/>
    <w:rsid w:val="64315AAB"/>
    <w:rsid w:val="64762F77"/>
    <w:rsid w:val="64B9017E"/>
    <w:rsid w:val="64C645C6"/>
    <w:rsid w:val="64C71DEB"/>
    <w:rsid w:val="64E47CE7"/>
    <w:rsid w:val="65230D25"/>
    <w:rsid w:val="65247ABA"/>
    <w:rsid w:val="652F54B8"/>
    <w:rsid w:val="654011ED"/>
    <w:rsid w:val="654F3ABD"/>
    <w:rsid w:val="65830623"/>
    <w:rsid w:val="658B13A0"/>
    <w:rsid w:val="659A0477"/>
    <w:rsid w:val="65DC21F1"/>
    <w:rsid w:val="65FD4414"/>
    <w:rsid w:val="66272B39"/>
    <w:rsid w:val="6641146A"/>
    <w:rsid w:val="6667297B"/>
    <w:rsid w:val="669C6071"/>
    <w:rsid w:val="66A01840"/>
    <w:rsid w:val="66B35A44"/>
    <w:rsid w:val="66B82B99"/>
    <w:rsid w:val="66EF7C4B"/>
    <w:rsid w:val="673145BF"/>
    <w:rsid w:val="6738287E"/>
    <w:rsid w:val="673A66C7"/>
    <w:rsid w:val="674258E7"/>
    <w:rsid w:val="674A2A8F"/>
    <w:rsid w:val="674E26AE"/>
    <w:rsid w:val="677649AD"/>
    <w:rsid w:val="679244AD"/>
    <w:rsid w:val="67A23F8B"/>
    <w:rsid w:val="67D547EE"/>
    <w:rsid w:val="67E52970"/>
    <w:rsid w:val="682C35B7"/>
    <w:rsid w:val="6865617D"/>
    <w:rsid w:val="68B31F95"/>
    <w:rsid w:val="68B74FAD"/>
    <w:rsid w:val="68CA52E5"/>
    <w:rsid w:val="68D91FC0"/>
    <w:rsid w:val="69295E5C"/>
    <w:rsid w:val="69702197"/>
    <w:rsid w:val="698322EE"/>
    <w:rsid w:val="69D004A6"/>
    <w:rsid w:val="6A07402E"/>
    <w:rsid w:val="6A124B37"/>
    <w:rsid w:val="6A1D1D87"/>
    <w:rsid w:val="6A310B8F"/>
    <w:rsid w:val="6A4868FC"/>
    <w:rsid w:val="6A4E4DCA"/>
    <w:rsid w:val="6A723256"/>
    <w:rsid w:val="6A742E51"/>
    <w:rsid w:val="6AAD7210"/>
    <w:rsid w:val="6AC513E4"/>
    <w:rsid w:val="6B080588"/>
    <w:rsid w:val="6B6275C1"/>
    <w:rsid w:val="6B6D42D1"/>
    <w:rsid w:val="6B9676E3"/>
    <w:rsid w:val="6BAC4D9C"/>
    <w:rsid w:val="6BC56223"/>
    <w:rsid w:val="6BD6212E"/>
    <w:rsid w:val="6BF866C2"/>
    <w:rsid w:val="6C31220E"/>
    <w:rsid w:val="6CD10A01"/>
    <w:rsid w:val="6D5B0382"/>
    <w:rsid w:val="6D6F45CA"/>
    <w:rsid w:val="6D7C7E29"/>
    <w:rsid w:val="6DA058B9"/>
    <w:rsid w:val="6DF216EF"/>
    <w:rsid w:val="6DF650DC"/>
    <w:rsid w:val="6E0468FF"/>
    <w:rsid w:val="6E066F85"/>
    <w:rsid w:val="6E1C7950"/>
    <w:rsid w:val="6E3E0ECC"/>
    <w:rsid w:val="6E446D22"/>
    <w:rsid w:val="6E7D321E"/>
    <w:rsid w:val="6EB67C1C"/>
    <w:rsid w:val="6EB723BA"/>
    <w:rsid w:val="6ED00992"/>
    <w:rsid w:val="6EF0318C"/>
    <w:rsid w:val="6F026560"/>
    <w:rsid w:val="6F583BA6"/>
    <w:rsid w:val="6F9125C9"/>
    <w:rsid w:val="6FD66A6F"/>
    <w:rsid w:val="6FD94B19"/>
    <w:rsid w:val="6FFC332C"/>
    <w:rsid w:val="708602C6"/>
    <w:rsid w:val="70A00C6B"/>
    <w:rsid w:val="70AD4A87"/>
    <w:rsid w:val="70B900E7"/>
    <w:rsid w:val="70F34135"/>
    <w:rsid w:val="71082D91"/>
    <w:rsid w:val="71222E5C"/>
    <w:rsid w:val="71251B5E"/>
    <w:rsid w:val="718E7AFF"/>
    <w:rsid w:val="71CB196D"/>
    <w:rsid w:val="71D06D18"/>
    <w:rsid w:val="71DB1D5C"/>
    <w:rsid w:val="71EA762A"/>
    <w:rsid w:val="723C224E"/>
    <w:rsid w:val="72737081"/>
    <w:rsid w:val="727C3061"/>
    <w:rsid w:val="727E6882"/>
    <w:rsid w:val="72AF2B82"/>
    <w:rsid w:val="72FD3294"/>
    <w:rsid w:val="73030B97"/>
    <w:rsid w:val="731248F9"/>
    <w:rsid w:val="733F747A"/>
    <w:rsid w:val="736814D4"/>
    <w:rsid w:val="73D26508"/>
    <w:rsid w:val="73D4359E"/>
    <w:rsid w:val="73F84BCD"/>
    <w:rsid w:val="74241CAF"/>
    <w:rsid w:val="74416E23"/>
    <w:rsid w:val="7442000B"/>
    <w:rsid w:val="745206DB"/>
    <w:rsid w:val="74547A54"/>
    <w:rsid w:val="74721A76"/>
    <w:rsid w:val="74805AE7"/>
    <w:rsid w:val="74B9342F"/>
    <w:rsid w:val="74C33E5F"/>
    <w:rsid w:val="74DC3590"/>
    <w:rsid w:val="74F36A8E"/>
    <w:rsid w:val="75893F3D"/>
    <w:rsid w:val="75D20C7B"/>
    <w:rsid w:val="75F42E23"/>
    <w:rsid w:val="76032603"/>
    <w:rsid w:val="76197217"/>
    <w:rsid w:val="76406973"/>
    <w:rsid w:val="769D0063"/>
    <w:rsid w:val="76AA2CB2"/>
    <w:rsid w:val="76DB19B9"/>
    <w:rsid w:val="77207B54"/>
    <w:rsid w:val="773337C3"/>
    <w:rsid w:val="7742617C"/>
    <w:rsid w:val="778F4CEB"/>
    <w:rsid w:val="77BE5D51"/>
    <w:rsid w:val="78385A0B"/>
    <w:rsid w:val="78683D89"/>
    <w:rsid w:val="789637D3"/>
    <w:rsid w:val="78AD4C11"/>
    <w:rsid w:val="78D666A9"/>
    <w:rsid w:val="78DA7521"/>
    <w:rsid w:val="791F0F35"/>
    <w:rsid w:val="79411C28"/>
    <w:rsid w:val="794E72DD"/>
    <w:rsid w:val="79A11330"/>
    <w:rsid w:val="79BE01F1"/>
    <w:rsid w:val="79DE1ED0"/>
    <w:rsid w:val="79F006ED"/>
    <w:rsid w:val="7A2F56B9"/>
    <w:rsid w:val="7A69755C"/>
    <w:rsid w:val="7A97665F"/>
    <w:rsid w:val="7A977747"/>
    <w:rsid w:val="7AAD4F97"/>
    <w:rsid w:val="7AD11C7C"/>
    <w:rsid w:val="7B041AB8"/>
    <w:rsid w:val="7B38340B"/>
    <w:rsid w:val="7B867895"/>
    <w:rsid w:val="7BBB5D00"/>
    <w:rsid w:val="7BC661C2"/>
    <w:rsid w:val="7BE1785A"/>
    <w:rsid w:val="7C5F63CA"/>
    <w:rsid w:val="7C630430"/>
    <w:rsid w:val="7C8808A8"/>
    <w:rsid w:val="7C990EB6"/>
    <w:rsid w:val="7CB00439"/>
    <w:rsid w:val="7CE67210"/>
    <w:rsid w:val="7CFC39CF"/>
    <w:rsid w:val="7D017361"/>
    <w:rsid w:val="7D7D6E37"/>
    <w:rsid w:val="7DAA46AF"/>
    <w:rsid w:val="7DAF55E4"/>
    <w:rsid w:val="7DF250A5"/>
    <w:rsid w:val="7DF32AF0"/>
    <w:rsid w:val="7DF907FD"/>
    <w:rsid w:val="7E1F343F"/>
    <w:rsid w:val="7E620EEF"/>
    <w:rsid w:val="7E7C42DE"/>
    <w:rsid w:val="7EA05393"/>
    <w:rsid w:val="7EC75AB2"/>
    <w:rsid w:val="7F1F5202"/>
    <w:rsid w:val="7F7D6ABB"/>
    <w:rsid w:val="7F807148"/>
    <w:rsid w:val="7FBE0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paragraph" w:customStyle="1" w:styleId="8">
    <w:name w:val="正文文本缩进 21"/>
    <w:basedOn w:val="1"/>
    <w:qFormat/>
    <w:uiPriority w:val="99"/>
    <w:pPr>
      <w:ind w:left="482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6175</Words>
  <Characters>6469</Characters>
  <Lines>0</Lines>
  <Paragraphs>0</Paragraphs>
  <TotalTime>26</TotalTime>
  <ScaleCrop>false</ScaleCrop>
  <LinksUpToDate>false</LinksUpToDate>
  <CharactersWithSpaces>6506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2024-07-22T13:43:00Z</dcterms:created>
  <dc:creator>susanyy</dc:creator>
  <cp:lastModifiedBy>萍</cp:lastModifiedBy>
  <dcterms:modified xsi:type="dcterms:W3CDTF">2026-09-08T01:09:24Z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10285D07EC0C40E292E48442241D9B18_11</vt:lpwstr>
  </property>
  <property fmtid="{D5CDD505-2E9C-101B-9397-08002B2CF9AE}" pid="4" name="KSOTemplateDocerSaveRecord">
    <vt:lpwstr>eyJoZGlkIjoiNjg3Y2JmMWYwYmRmNTc1NmI3YmE4NTBmNDkwMTFkYWUiLCJ1c2VySWQiOiI0NDg3NzMwMTMifQ==</vt:lpwstr>
  </property>
</Properties>
</file>