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2C2EB4">
      <w:pPr>
        <w:widowControl/>
        <w:shd w:val="clear" w:color="auto" w:fill="FFFFFF"/>
        <w:spacing w:line="360" w:lineRule="auto"/>
        <w:jc w:val="center"/>
        <w:rPr>
          <w:rStyle w:val="19"/>
          <w:rFonts w:hint="eastAsia" w:ascii="微软雅黑" w:hAnsi="微软雅黑" w:eastAsia="微软雅黑" w:cs="微软雅黑"/>
          <w:bCs/>
          <w:kern w:val="0"/>
          <w:sz w:val="24"/>
          <w:shd w:val="clear" w:color="auto" w:fill="FFFFFF"/>
          <w:lang w:bidi="ar"/>
        </w:rPr>
      </w:pPr>
      <w:r>
        <w:rPr>
          <w:rStyle w:val="19"/>
          <w:rFonts w:hint="eastAsia" w:ascii="宋体" w:hAnsi="宋体" w:cs="宋体"/>
          <w:bCs/>
          <w:kern w:val="0"/>
          <w:sz w:val="32"/>
          <w:szCs w:val="32"/>
          <w:shd w:val="clear" w:color="auto" w:fill="FFFFFF"/>
          <w:lang w:bidi="ar"/>
        </w:rPr>
        <w:t>2026</w:t>
      </w:r>
      <w:r>
        <w:rPr>
          <w:rStyle w:val="19"/>
          <w:rFonts w:ascii="宋体" w:hAnsi="宋体" w:cs="宋体"/>
          <w:bCs/>
          <w:kern w:val="0"/>
          <w:sz w:val="32"/>
          <w:szCs w:val="32"/>
          <w:shd w:val="clear" w:color="auto" w:fill="FFFFFF"/>
          <w:lang w:bidi="ar"/>
        </w:rPr>
        <w:t>集成电路</w:t>
      </w:r>
      <w:r>
        <w:rPr>
          <w:rStyle w:val="19"/>
          <w:rFonts w:hint="eastAsia" w:ascii="宋体" w:hAnsi="宋体" w:cs="宋体"/>
          <w:bCs/>
          <w:kern w:val="0"/>
          <w:sz w:val="32"/>
          <w:szCs w:val="32"/>
          <w:shd w:val="clear" w:color="auto" w:fill="FFFFFF"/>
          <w:lang w:bidi="ar"/>
        </w:rPr>
        <w:t>装备</w:t>
      </w:r>
      <w:r>
        <w:rPr>
          <w:rStyle w:val="19"/>
          <w:rFonts w:ascii="宋体" w:hAnsi="宋体" w:cs="宋体"/>
          <w:bCs/>
          <w:kern w:val="0"/>
          <w:sz w:val="32"/>
          <w:szCs w:val="32"/>
          <w:shd w:val="clear" w:color="auto" w:fill="FFFFFF"/>
          <w:lang w:bidi="ar"/>
        </w:rPr>
        <w:t>微专业招生简章</w:t>
      </w:r>
    </w:p>
    <w:p w14:paraId="7E086497">
      <w:pPr>
        <w:widowControl/>
        <w:shd w:val="clear" w:color="auto" w:fill="FFFFFF"/>
        <w:spacing w:line="360" w:lineRule="auto"/>
        <w:ind w:firstLine="560" w:firstLineChars="200"/>
        <w:rPr>
          <w:rStyle w:val="19"/>
          <w:rFonts w:hint="eastAsia" w:ascii="微软雅黑" w:hAnsi="微软雅黑" w:eastAsia="微软雅黑" w:cs="微软雅黑"/>
          <w:bCs/>
          <w:color w:val="333333"/>
          <w:kern w:val="0"/>
          <w:sz w:val="28"/>
          <w:szCs w:val="28"/>
          <w:shd w:val="clear" w:color="auto" w:fill="FFFFFF"/>
          <w:lang w:bidi="ar"/>
        </w:rPr>
      </w:pPr>
      <w:r>
        <w:rPr>
          <w:rStyle w:val="19"/>
          <w:rFonts w:hint="eastAsia" w:ascii="微软雅黑" w:hAnsi="微软雅黑" w:eastAsia="微软雅黑" w:cs="微软雅黑"/>
          <w:bCs/>
          <w:color w:val="333333"/>
          <w:kern w:val="0"/>
          <w:sz w:val="28"/>
          <w:szCs w:val="28"/>
          <w:shd w:val="clear" w:color="auto" w:fill="FFFFFF"/>
          <w:lang w:bidi="ar"/>
        </w:rPr>
        <w:t xml:space="preserve"> 一、微专业简介 </w:t>
      </w:r>
    </w:p>
    <w:p w14:paraId="29F7E032">
      <w:pPr>
        <w:widowControl/>
        <w:shd w:val="clear" w:color="auto" w:fill="FFFFFF"/>
        <w:spacing w:line="360" w:lineRule="auto"/>
        <w:ind w:firstLine="560" w:firstLineChars="200"/>
        <w:rPr>
          <w:rFonts w:hint="eastAsia" w:ascii="仿宋" w:hAnsi="仿宋" w:eastAsia="仿宋"/>
          <w:bCs/>
          <w:sz w:val="28"/>
          <w:szCs w:val="28"/>
        </w:rPr>
      </w:pPr>
      <w:r>
        <w:rPr>
          <w:rFonts w:hint="eastAsia" w:ascii="仿宋" w:hAnsi="仿宋" w:eastAsia="仿宋"/>
          <w:bCs/>
          <w:sz w:val="28"/>
          <w:szCs w:val="28"/>
        </w:rPr>
        <w:t>集成电路装备微专业紧密对接国家集成电路产业战略及半导体高端装备自主发展需求，面向集成电路装备制造领域对装备系统认知、工程光学应用、机电系统调试、光学系统调试、自动化控制与现场技术支持等复合型人才的需求，依托学校机械工程、光电信息、自动化及相关工程实践平台，提供 5 门"小而精"的产教融合课程，分别为集成电路装备概论、工程光学、机电系统调试基础、光学系统调试基础、PLC在半导体装备中的应用，修读年限为 1 年。</w:t>
      </w:r>
    </w:p>
    <w:p w14:paraId="00D00EF7">
      <w:pPr>
        <w:widowControl/>
        <w:shd w:val="clear" w:color="auto" w:fill="FFFFFF"/>
        <w:spacing w:line="360" w:lineRule="auto"/>
        <w:ind w:firstLine="560" w:firstLineChars="200"/>
        <w:rPr>
          <w:rFonts w:hint="eastAsia" w:ascii="仿宋" w:hAnsi="仿宋" w:eastAsia="仿宋"/>
          <w:bCs/>
          <w:sz w:val="28"/>
          <w:szCs w:val="28"/>
        </w:rPr>
      </w:pPr>
      <w:r>
        <w:rPr>
          <w:rFonts w:hint="eastAsia" w:ascii="仿宋" w:hAnsi="仿宋" w:eastAsia="仿宋"/>
          <w:bCs/>
          <w:sz w:val="28"/>
          <w:szCs w:val="28"/>
        </w:rPr>
        <w:t>本微专业旨在培养学生系统了解集成电路产业基础、半导体装备体系的基本构成，掌握工程光学、机电系统调试、光学系统调试、PLC自动化控制及现场技术支持等关键环节的基本原理和工程实践方法，使学生能够深入了解半导体装备系统调试、现场服务、应用支持、维护保障、技术验证及质量管理等领域，为未来前往集成电路装备制造领域从事现场服务、应用支持、系统调试等工作或深造打下坚实基础。</w:t>
      </w:r>
    </w:p>
    <w:p w14:paraId="48DACB08">
      <w:pPr>
        <w:widowControl/>
        <w:shd w:val="clear" w:color="auto" w:fill="FFFFFF"/>
        <w:spacing w:line="360" w:lineRule="auto"/>
        <w:ind w:firstLine="560" w:firstLineChars="200"/>
        <w:rPr>
          <w:rStyle w:val="19"/>
          <w:rFonts w:hint="eastAsia" w:ascii="微软雅黑" w:hAnsi="微软雅黑" w:eastAsia="微软雅黑" w:cs="微软雅黑"/>
          <w:bCs/>
          <w:color w:val="333333"/>
          <w:kern w:val="0"/>
          <w:sz w:val="28"/>
          <w:szCs w:val="28"/>
          <w:shd w:val="clear" w:color="auto" w:fill="FFFFFF"/>
          <w:lang w:bidi="ar"/>
        </w:rPr>
      </w:pPr>
      <w:r>
        <w:rPr>
          <w:rStyle w:val="19"/>
          <w:rFonts w:hint="eastAsia" w:ascii="微软雅黑" w:hAnsi="微软雅黑" w:eastAsia="微软雅黑" w:cs="微软雅黑"/>
          <w:bCs/>
          <w:color w:val="333333"/>
          <w:kern w:val="0"/>
          <w:sz w:val="28"/>
          <w:szCs w:val="28"/>
          <w:shd w:val="clear" w:color="auto" w:fill="FFFFFF"/>
          <w:lang w:bidi="ar"/>
        </w:rPr>
        <w:t>二、 培养目标</w:t>
      </w:r>
    </w:p>
    <w:p w14:paraId="0CABDFAE">
      <w:pPr>
        <w:widowControl/>
        <w:shd w:val="clear" w:color="auto" w:fill="FFFFFF"/>
        <w:spacing w:line="360" w:lineRule="auto"/>
        <w:ind w:firstLine="560" w:firstLineChars="200"/>
        <w:rPr>
          <w:rFonts w:hint="eastAsia" w:ascii="仿宋" w:hAnsi="仿宋" w:eastAsia="仿宋"/>
          <w:bCs/>
          <w:sz w:val="28"/>
          <w:szCs w:val="28"/>
        </w:rPr>
      </w:pPr>
      <w:r>
        <w:rPr>
          <w:rFonts w:hint="eastAsia" w:ascii="仿宋" w:hAnsi="仿宋" w:eastAsia="仿宋"/>
          <w:bCs/>
          <w:sz w:val="28"/>
          <w:szCs w:val="28"/>
        </w:rPr>
        <w:t>本微专业精准对接国家集成电路产业战略及半导体高端装备自主发展需求，围绕集成电路装备领域对装备系统认知、工程光学应用、机电系统调试、光学系统调试、自动化控制与现场技术支持等岗位能力的要求，面向现场服务工程师、应用工程师、技术支持工程师、系统调试工程师等相关岗位，培养德、智、体、美、劳全面发展，具备扎实集成电路基础知识、半导体高端装备认知能力、工程光学应用能力、机电与光学系统调试能力、PLC自动化控制能力，能够从事集成电路装备现场服务、系统调试、应用支持、维护保障、技术验证等工作，具有较强工程实践能力、问题解决能力与良好职业素养的本科层次高素质应用型工程技术人才。</w:t>
      </w:r>
    </w:p>
    <w:p w14:paraId="38B0D91F">
      <w:pPr>
        <w:widowControl/>
        <w:shd w:val="clear" w:color="auto" w:fill="FFFFFF"/>
        <w:spacing w:line="360" w:lineRule="auto"/>
        <w:ind w:firstLine="560" w:firstLineChars="200"/>
        <w:rPr>
          <w:rStyle w:val="19"/>
          <w:rFonts w:hint="eastAsia" w:ascii="微软雅黑" w:hAnsi="微软雅黑" w:eastAsia="微软雅黑" w:cs="微软雅黑"/>
          <w:bCs/>
          <w:color w:val="333333"/>
          <w:kern w:val="0"/>
          <w:sz w:val="28"/>
          <w:szCs w:val="28"/>
          <w:shd w:val="clear" w:color="auto" w:fill="FFFFFF"/>
          <w:lang w:bidi="ar"/>
        </w:rPr>
      </w:pPr>
      <w:r>
        <w:rPr>
          <w:rStyle w:val="19"/>
          <w:rFonts w:hint="eastAsia" w:ascii="微软雅黑" w:hAnsi="微软雅黑" w:eastAsia="微软雅黑" w:cs="微软雅黑"/>
          <w:bCs/>
          <w:color w:val="333333"/>
          <w:kern w:val="0"/>
          <w:sz w:val="28"/>
          <w:szCs w:val="28"/>
          <w:shd w:val="clear" w:color="auto" w:fill="FFFFFF"/>
          <w:lang w:bidi="ar"/>
        </w:rPr>
        <w:t>三、 培养要求</w:t>
      </w:r>
    </w:p>
    <w:p w14:paraId="74C20A94">
      <w:pPr>
        <w:widowControl/>
        <w:shd w:val="clear" w:color="auto" w:fill="FFFFFF"/>
        <w:spacing w:line="360" w:lineRule="auto"/>
        <w:ind w:firstLine="560" w:firstLineChars="200"/>
        <w:rPr>
          <w:rFonts w:hint="eastAsia" w:ascii="仿宋" w:hAnsi="仿宋" w:eastAsia="仿宋"/>
          <w:bCs/>
          <w:sz w:val="28"/>
          <w:szCs w:val="36"/>
        </w:rPr>
      </w:pPr>
      <w:r>
        <w:rPr>
          <w:rFonts w:hint="eastAsia" w:ascii="仿宋" w:hAnsi="仿宋" w:eastAsia="仿宋"/>
          <w:bCs/>
          <w:sz w:val="28"/>
          <w:szCs w:val="36"/>
        </w:rPr>
        <w:t>（1）学生需系统掌握集成电路制造及半导体装备方向的基础理论知识，包括集成电路基本原理、晶圆制造流程、半导体装备体系、工程光学基础、光学系统构成、机电系统原理、精密运动控制、PLC自动化控制及现场技术服务等内容。熟悉集成电路装备中光学系统、机电系统、自动化控制、真空与流体系统、安全联锁等子系统的基本构成与工作原理，掌握装备调试、性能检测、故障诊断与现场技术支持等关键环节的基本原理与工程实践要点。</w:t>
      </w:r>
    </w:p>
    <w:p w14:paraId="531CD8F5">
      <w:pPr>
        <w:widowControl/>
        <w:shd w:val="clear" w:color="auto" w:fill="FFFFFF"/>
        <w:spacing w:line="360" w:lineRule="auto"/>
        <w:ind w:firstLine="560" w:firstLineChars="200"/>
        <w:rPr>
          <w:rFonts w:hint="eastAsia" w:ascii="仿宋" w:hAnsi="仿宋" w:eastAsia="仿宋"/>
          <w:bCs/>
          <w:sz w:val="28"/>
          <w:szCs w:val="36"/>
        </w:rPr>
      </w:pPr>
      <w:r>
        <w:rPr>
          <w:rFonts w:hint="eastAsia" w:ascii="仿宋" w:hAnsi="仿宋" w:eastAsia="仿宋"/>
          <w:bCs/>
          <w:sz w:val="28"/>
          <w:szCs w:val="36"/>
        </w:rPr>
        <w:t>（2）能力层面：学生需具备一定的装备系统分析、调试操作与现场问题解决能力，能够结合典型集成电路装备开展系统认知、图样识读、机电与光学系统调试、PLC程序理解与参数优化、设备状态监测与故障排查。通过课程学习和实践训练，学生应能够初步分析装备运行中的光学性能异常、机电联动故障、控制逻辑问题、通信异常和工艺参数漂移等实际工程问题，并具备适应高端装备智能化运维与现场服务发展趋势的创新思维能力。</w:t>
      </w:r>
    </w:p>
    <w:p w14:paraId="32AB35E2">
      <w:pPr>
        <w:widowControl/>
        <w:shd w:val="clear" w:color="auto" w:fill="FFFFFF"/>
        <w:spacing w:line="360" w:lineRule="auto"/>
        <w:ind w:firstLine="560" w:firstLineChars="200"/>
        <w:rPr>
          <w:rFonts w:hint="eastAsia" w:ascii="仿宋" w:hAnsi="仿宋" w:eastAsia="仿宋"/>
          <w:bCs/>
          <w:sz w:val="28"/>
          <w:szCs w:val="36"/>
        </w:rPr>
      </w:pPr>
      <w:r>
        <w:rPr>
          <w:rFonts w:hint="eastAsia" w:ascii="仿宋" w:hAnsi="仿宋" w:eastAsia="仿宋"/>
          <w:bCs/>
          <w:sz w:val="28"/>
          <w:szCs w:val="36"/>
        </w:rPr>
        <w:t>（3）素质层面：学生需要具备良好的职业通用素质、规范意识、沟通协调能力和团队合作精神，能够快速适应产教融合和企业现场工程实践环境。此外，还需要具备较强的安全意识、质量意识、服务意识、创新意识、国际视野与责任心，能够遵守半导体装备现场服务、系统调试、维护保障和技术支持相关规范，为集成电路高端装备自主化与产业高质量发展做出贡献。</w:t>
      </w:r>
    </w:p>
    <w:p w14:paraId="6D3EF544">
      <w:pPr>
        <w:widowControl/>
        <w:shd w:val="clear" w:color="auto" w:fill="FFFFFF"/>
        <w:spacing w:line="360" w:lineRule="auto"/>
        <w:ind w:firstLine="560" w:firstLineChars="200"/>
        <w:rPr>
          <w:rStyle w:val="19"/>
          <w:bCs/>
          <w:kern w:val="0"/>
          <w:shd w:val="clear" w:color="auto" w:fill="FFFFFF"/>
          <w:lang w:bidi="ar"/>
        </w:rPr>
      </w:pPr>
      <w:r>
        <w:rPr>
          <w:rStyle w:val="19"/>
          <w:rFonts w:hint="eastAsia" w:ascii="微软雅黑" w:hAnsi="微软雅黑" w:eastAsia="微软雅黑" w:cs="微软雅黑"/>
          <w:bCs/>
          <w:color w:val="333333"/>
          <w:kern w:val="0"/>
          <w:sz w:val="28"/>
          <w:szCs w:val="28"/>
          <w:shd w:val="clear" w:color="auto" w:fill="FFFFFF"/>
          <w:lang w:bidi="ar"/>
        </w:rPr>
        <w:t>四、 招生对象及条件</w:t>
      </w:r>
    </w:p>
    <w:p w14:paraId="23542D90">
      <w:pPr>
        <w:widowControl/>
        <w:shd w:val="clear" w:color="auto" w:fill="FFFFFF"/>
        <w:spacing w:line="360" w:lineRule="auto"/>
        <w:ind w:firstLine="560" w:firstLineChars="200"/>
        <w:rPr>
          <w:b/>
          <w:bCs/>
          <w:kern w:val="0"/>
          <w:shd w:val="clear" w:color="auto" w:fill="FFFFFF"/>
          <w:lang w:bidi="ar"/>
        </w:rPr>
      </w:pPr>
      <w:r>
        <w:rPr>
          <w:rFonts w:ascii="仿宋" w:hAnsi="仿宋" w:eastAsia="仿宋"/>
          <w:bCs/>
          <w:sz w:val="28"/>
          <w:szCs w:val="28"/>
        </w:rPr>
        <w:t>招生对象：要求为本科2024和2025级的学生（优先2024级），以确保学生已经具备了一定的专业基础知识和学习能力。在校生（尤其是工程、电子、材料、物理、机械、自动化、光电信息、测控技术与仪器、智能制造等相关专业学生），具备一定的科学探究能力和工程实践能力，</w:t>
      </w:r>
      <w:r>
        <w:rPr>
          <w:rFonts w:hint="eastAsia" w:ascii="仿宋" w:hAnsi="仿宋" w:eastAsia="仿宋"/>
          <w:bCs/>
          <w:sz w:val="28"/>
          <w:szCs w:val="28"/>
        </w:rPr>
        <w:t>对集成电路、半导体高端装备及相关领域表现出浓厚的兴趣，并具备相应的学习动机和目标。</w:t>
      </w:r>
    </w:p>
    <w:p w14:paraId="6F64AA87">
      <w:pPr>
        <w:widowControl/>
        <w:shd w:val="clear" w:color="auto" w:fill="FFFFFF"/>
        <w:spacing w:line="360" w:lineRule="auto"/>
        <w:ind w:firstLine="560" w:firstLineChars="200"/>
        <w:rPr>
          <w:b/>
          <w:bCs/>
          <w:kern w:val="0"/>
          <w:shd w:val="clear" w:color="auto" w:fill="FFFFFF"/>
          <w:lang w:bidi="ar"/>
        </w:rPr>
      </w:pPr>
      <w:r>
        <w:rPr>
          <w:rFonts w:hint="eastAsia" w:ascii="仿宋" w:hAnsi="仿宋" w:eastAsia="仿宋"/>
          <w:bCs/>
          <w:sz w:val="28"/>
          <w:szCs w:val="28"/>
        </w:rPr>
        <w:t>招生要求：</w:t>
      </w:r>
    </w:p>
    <w:p w14:paraId="03EEE63F">
      <w:pPr>
        <w:adjustRightInd w:val="0"/>
        <w:snapToGrid w:val="0"/>
        <w:spacing w:line="360" w:lineRule="auto"/>
        <w:ind w:firstLine="560" w:firstLineChars="200"/>
        <w:rPr>
          <w:rFonts w:hint="eastAsia" w:ascii="仿宋" w:hAnsi="仿宋" w:eastAsia="仿宋"/>
          <w:bCs/>
          <w:sz w:val="28"/>
          <w:szCs w:val="28"/>
        </w:rPr>
      </w:pPr>
      <w:r>
        <w:rPr>
          <w:rFonts w:hint="eastAsia" w:ascii="仿宋" w:hAnsi="仿宋" w:eastAsia="仿宋"/>
          <w:bCs/>
          <w:sz w:val="28"/>
          <w:szCs w:val="28"/>
        </w:rPr>
        <w:t>（1）成绩优异，具有良好的数学、物理、机械及工程基础。</w:t>
      </w:r>
    </w:p>
    <w:p w14:paraId="7F03B342">
      <w:pPr>
        <w:adjustRightInd w:val="0"/>
        <w:snapToGrid w:val="0"/>
        <w:spacing w:line="360" w:lineRule="auto"/>
        <w:ind w:firstLine="560" w:firstLineChars="200"/>
        <w:rPr>
          <w:rFonts w:hint="eastAsia" w:ascii="仿宋" w:hAnsi="仿宋" w:eastAsia="仿宋"/>
          <w:bCs/>
          <w:sz w:val="28"/>
          <w:szCs w:val="28"/>
        </w:rPr>
      </w:pPr>
      <w:r>
        <w:rPr>
          <w:rFonts w:hint="eastAsia" w:ascii="仿宋" w:hAnsi="仿宋" w:eastAsia="仿宋"/>
          <w:bCs/>
          <w:sz w:val="28"/>
          <w:szCs w:val="28"/>
        </w:rPr>
        <w:t>（2）具备团队合作精神与规范意识，能够积极参与工程光学学习、精密机械设计训练、光学加工与检测实验及企业实践。</w:t>
      </w:r>
    </w:p>
    <w:p w14:paraId="4C00E9E8">
      <w:pPr>
        <w:adjustRightInd w:val="0"/>
        <w:snapToGrid w:val="0"/>
        <w:spacing w:line="360" w:lineRule="auto"/>
        <w:ind w:firstLine="560" w:firstLineChars="200"/>
        <w:rPr>
          <w:rFonts w:hint="eastAsia" w:ascii="仿宋" w:hAnsi="仿宋" w:eastAsia="仿宋"/>
          <w:bCs/>
          <w:sz w:val="28"/>
          <w:szCs w:val="28"/>
        </w:rPr>
      </w:pPr>
      <w:r>
        <w:rPr>
          <w:rFonts w:hint="eastAsia" w:ascii="仿宋" w:hAnsi="仿宋" w:eastAsia="仿宋"/>
          <w:bCs/>
          <w:sz w:val="28"/>
          <w:szCs w:val="28"/>
        </w:rPr>
        <w:t>（3）有志于在集成电路装备等相关领域继续深造或就业。</w:t>
      </w:r>
    </w:p>
    <w:p w14:paraId="5A1A37BB">
      <w:pPr>
        <w:adjustRightInd w:val="0"/>
        <w:snapToGrid w:val="0"/>
        <w:spacing w:line="360" w:lineRule="auto"/>
        <w:ind w:firstLine="560" w:firstLineChars="200"/>
        <w:rPr>
          <w:rFonts w:hint="eastAsia" w:ascii="仿宋" w:hAnsi="仿宋" w:eastAsia="仿宋"/>
          <w:bCs/>
          <w:sz w:val="28"/>
          <w:szCs w:val="28"/>
        </w:rPr>
      </w:pPr>
      <w:r>
        <w:rPr>
          <w:rFonts w:hint="eastAsia" w:ascii="仿宋" w:hAnsi="仿宋" w:eastAsia="仿宋"/>
          <w:bCs/>
          <w:sz w:val="28"/>
          <w:szCs w:val="28"/>
        </w:rPr>
        <w:t>招生人数： 30-40 人</w:t>
      </w:r>
    </w:p>
    <w:p w14:paraId="3AD8E197">
      <w:pPr>
        <w:widowControl/>
        <w:shd w:val="clear" w:color="auto" w:fill="FFFFFF"/>
        <w:spacing w:line="360" w:lineRule="auto"/>
        <w:ind w:firstLine="560" w:firstLineChars="200"/>
        <w:rPr>
          <w:rStyle w:val="19"/>
          <w:rFonts w:hint="eastAsia" w:ascii="微软雅黑" w:hAnsi="微软雅黑" w:eastAsia="微软雅黑" w:cs="微软雅黑"/>
          <w:bCs/>
          <w:color w:val="333333"/>
          <w:kern w:val="0"/>
          <w:sz w:val="28"/>
          <w:szCs w:val="28"/>
          <w:shd w:val="clear" w:color="auto" w:fill="FFFFFF"/>
          <w:lang w:bidi="ar"/>
        </w:rPr>
      </w:pPr>
      <w:r>
        <w:rPr>
          <w:rStyle w:val="19"/>
          <w:rFonts w:hint="eastAsia" w:ascii="微软雅黑" w:hAnsi="微软雅黑" w:eastAsia="微软雅黑" w:cs="微软雅黑"/>
          <w:bCs/>
          <w:color w:val="333333"/>
          <w:kern w:val="0"/>
          <w:sz w:val="28"/>
          <w:szCs w:val="28"/>
          <w:shd w:val="clear" w:color="auto" w:fill="FFFFFF"/>
          <w:lang w:bidi="ar"/>
        </w:rPr>
        <w:t> 五、学制及证书授予</w:t>
      </w:r>
    </w:p>
    <w:p w14:paraId="2D5343D6">
      <w:pPr>
        <w:widowControl/>
        <w:shd w:val="clear" w:color="auto" w:fill="FFFFFF"/>
        <w:spacing w:line="360" w:lineRule="auto"/>
        <w:ind w:firstLine="560" w:firstLineChars="200"/>
        <w:rPr>
          <w:rFonts w:hint="eastAsia" w:ascii="仿宋" w:hAnsi="仿宋" w:eastAsia="仿宋"/>
          <w:sz w:val="28"/>
          <w:szCs w:val="28"/>
        </w:rPr>
      </w:pPr>
      <w:r>
        <w:rPr>
          <w:rFonts w:ascii="仿宋" w:hAnsi="仿宋" w:eastAsia="仿宋"/>
          <w:sz w:val="28"/>
          <w:szCs w:val="28"/>
        </w:rPr>
        <w:t>集成电路光机微专业修读年限为1年，成绩单独管理，不计入主修专业成绩单。学生在毕业前，修满本培养方案规定的1</w:t>
      </w:r>
      <w:r>
        <w:rPr>
          <w:rFonts w:hint="eastAsia" w:ascii="仿宋" w:hAnsi="仿宋" w:eastAsia="仿宋"/>
          <w:sz w:val="28"/>
          <w:szCs w:val="28"/>
        </w:rPr>
        <w:t>0</w:t>
      </w:r>
      <w:r>
        <w:rPr>
          <w:rFonts w:ascii="仿宋" w:hAnsi="仿宋" w:eastAsia="仿宋"/>
          <w:sz w:val="28"/>
          <w:szCs w:val="28"/>
        </w:rPr>
        <w:t>学分，颁发</w:t>
      </w:r>
      <w:r>
        <w:rPr>
          <w:rFonts w:ascii="仿宋" w:hAnsi="仿宋" w:eastAsia="仿宋"/>
          <w:b/>
          <w:bCs/>
          <w:sz w:val="28"/>
          <w:szCs w:val="28"/>
        </w:rPr>
        <w:t>集成电路</w:t>
      </w:r>
      <w:r>
        <w:rPr>
          <w:rFonts w:hint="eastAsia" w:ascii="仿宋" w:hAnsi="仿宋" w:eastAsia="仿宋"/>
          <w:b/>
          <w:bCs/>
          <w:sz w:val="28"/>
          <w:szCs w:val="28"/>
        </w:rPr>
        <w:t>装备</w:t>
      </w:r>
      <w:r>
        <w:rPr>
          <w:rFonts w:ascii="仿宋" w:hAnsi="仿宋" w:eastAsia="仿宋"/>
          <w:b/>
          <w:bCs/>
          <w:sz w:val="28"/>
          <w:szCs w:val="28"/>
        </w:rPr>
        <w:t>微专业证书</w:t>
      </w:r>
      <w:r>
        <w:rPr>
          <w:rFonts w:hint="eastAsia" w:ascii="仿宋" w:hAnsi="仿宋" w:eastAsia="仿宋"/>
          <w:sz w:val="28"/>
          <w:szCs w:val="28"/>
        </w:rPr>
        <w:t>。</w:t>
      </w:r>
      <w:r>
        <w:rPr>
          <w:rFonts w:ascii="仿宋" w:hAnsi="仿宋" w:eastAsia="仿宋"/>
          <w:sz w:val="28"/>
          <w:szCs w:val="28"/>
        </w:rPr>
        <w:t>课程修读合格的学员，可作为进入专项班的重要遴选对象，并优先推荐进入实习和就业。</w:t>
      </w:r>
      <w:r>
        <w:rPr>
          <w:rFonts w:hint="eastAsia" w:ascii="仿宋" w:hAnsi="仿宋" w:eastAsia="仿宋"/>
          <w:sz w:val="28"/>
          <w:szCs w:val="28"/>
        </w:rPr>
        <w:t>通过微专业学习进入到专项班的学生，根据课程与培养计划课程体系要求情况，1-3门专业课可以在教务处批准后进行</w:t>
      </w:r>
      <w:r>
        <w:rPr>
          <w:rFonts w:hint="eastAsia" w:ascii="仿宋" w:hAnsi="仿宋" w:eastAsia="仿宋"/>
          <w:b/>
          <w:bCs/>
          <w:sz w:val="28"/>
          <w:szCs w:val="28"/>
        </w:rPr>
        <w:t>学分替代</w:t>
      </w:r>
      <w:r>
        <w:rPr>
          <w:rFonts w:hint="eastAsia" w:ascii="仿宋" w:hAnsi="仿宋" w:eastAsia="仿宋"/>
          <w:sz w:val="28"/>
          <w:szCs w:val="28"/>
        </w:rPr>
        <w:t>。</w:t>
      </w:r>
    </w:p>
    <w:p w14:paraId="6E5E2462">
      <w:pPr>
        <w:widowControl/>
        <w:shd w:val="clear" w:color="auto" w:fill="FFFFFF"/>
        <w:spacing w:line="360" w:lineRule="auto"/>
        <w:ind w:firstLine="560" w:firstLineChars="200"/>
        <w:rPr>
          <w:rFonts w:hint="eastAsia" w:ascii="微软雅黑" w:hAnsi="微软雅黑" w:eastAsia="微软雅黑" w:cs="微软雅黑"/>
          <w:color w:val="333333"/>
          <w:sz w:val="28"/>
          <w:szCs w:val="28"/>
        </w:rPr>
      </w:pPr>
      <w:r>
        <w:rPr>
          <w:rStyle w:val="19"/>
          <w:rFonts w:hint="eastAsia" w:ascii="微软雅黑" w:hAnsi="微软雅黑" w:eastAsia="微软雅黑" w:cs="微软雅黑"/>
          <w:bCs/>
          <w:color w:val="333333"/>
          <w:kern w:val="0"/>
          <w:sz w:val="28"/>
          <w:szCs w:val="28"/>
          <w:shd w:val="clear" w:color="auto" w:fill="FFFFFF"/>
          <w:lang w:bidi="ar"/>
        </w:rPr>
        <w:t>六、 学费</w:t>
      </w:r>
    </w:p>
    <w:p w14:paraId="2CA6B3EC">
      <w:pPr>
        <w:adjustRightInd w:val="0"/>
        <w:snapToGrid w:val="0"/>
        <w:spacing w:line="360" w:lineRule="auto"/>
        <w:ind w:firstLine="560" w:firstLineChars="200"/>
        <w:rPr>
          <w:rFonts w:hint="eastAsia" w:ascii="仿宋" w:hAnsi="仿宋" w:eastAsia="仿宋"/>
          <w:bCs/>
          <w:sz w:val="28"/>
          <w:szCs w:val="28"/>
        </w:rPr>
      </w:pPr>
      <w:r>
        <w:rPr>
          <w:rFonts w:hint="eastAsia" w:ascii="仿宋" w:hAnsi="仿宋" w:eastAsia="仿宋"/>
          <w:bCs/>
          <w:sz w:val="28"/>
          <w:szCs w:val="28"/>
        </w:rPr>
        <w:t>根据学院讨论决定，</w:t>
      </w:r>
      <w:r>
        <w:rPr>
          <w:rFonts w:ascii="仿宋" w:hAnsi="仿宋" w:eastAsia="仿宋"/>
          <w:bCs/>
          <w:sz w:val="28"/>
          <w:szCs w:val="28"/>
        </w:rPr>
        <w:t>集成电路</w:t>
      </w:r>
      <w:r>
        <w:rPr>
          <w:rFonts w:hint="eastAsia" w:ascii="仿宋" w:hAnsi="仿宋" w:eastAsia="仿宋"/>
          <w:bCs/>
          <w:sz w:val="28"/>
          <w:szCs w:val="28"/>
        </w:rPr>
        <w:t>装备</w:t>
      </w:r>
      <w:r>
        <w:rPr>
          <w:rFonts w:ascii="仿宋" w:hAnsi="仿宋" w:eastAsia="仿宋"/>
          <w:bCs/>
          <w:sz w:val="28"/>
          <w:szCs w:val="28"/>
        </w:rPr>
        <w:t>微专业不收取学费。</w:t>
      </w:r>
    </w:p>
    <w:p w14:paraId="12512301">
      <w:pPr>
        <w:adjustRightInd w:val="0"/>
        <w:snapToGrid w:val="0"/>
        <w:spacing w:line="360" w:lineRule="auto"/>
        <w:ind w:firstLine="560" w:firstLineChars="200"/>
        <w:rPr>
          <w:rFonts w:hint="eastAsia" w:ascii="微软雅黑" w:hAnsi="微软雅黑" w:eastAsia="微软雅黑" w:cs="微软雅黑"/>
          <w:color w:val="333333"/>
          <w:sz w:val="28"/>
          <w:szCs w:val="28"/>
        </w:rPr>
      </w:pPr>
      <w:r>
        <w:rPr>
          <w:rStyle w:val="19"/>
          <w:rFonts w:hint="eastAsia" w:ascii="微软雅黑" w:hAnsi="微软雅黑" w:eastAsia="微软雅黑" w:cs="微软雅黑"/>
          <w:bCs/>
          <w:color w:val="333333"/>
          <w:kern w:val="0"/>
          <w:sz w:val="28"/>
          <w:szCs w:val="28"/>
          <w:shd w:val="clear" w:color="auto" w:fill="FFFFFF"/>
          <w:lang w:bidi="ar"/>
        </w:rPr>
        <w:t>七、 报名及咨询</w:t>
      </w:r>
    </w:p>
    <w:p w14:paraId="4DB88EAA">
      <w:pPr>
        <w:adjustRightInd w:val="0"/>
        <w:snapToGrid w:val="0"/>
        <w:spacing w:line="360" w:lineRule="auto"/>
        <w:ind w:firstLine="560" w:firstLineChars="200"/>
        <w:rPr>
          <w:rFonts w:hint="eastAsia" w:ascii="仿宋" w:hAnsi="仿宋" w:eastAsia="仿宋"/>
          <w:bCs/>
          <w:sz w:val="28"/>
          <w:szCs w:val="28"/>
        </w:rPr>
      </w:pPr>
      <w:r>
        <w:rPr>
          <w:rFonts w:hint="eastAsia" w:ascii="仿宋" w:hAnsi="仿宋" w:eastAsia="仿宋"/>
          <w:bCs/>
          <w:sz w:val="28"/>
          <w:szCs w:val="28"/>
        </w:rPr>
        <w:t>报名网址https://v.wjx.cn/vm/Q03Cx1K.aspx# ，学院审核后，择优确定微专业录取名单，报教务处备案并发布录取信息。</w:t>
      </w:r>
    </w:p>
    <w:p w14:paraId="3C45FD87">
      <w:pPr>
        <w:adjustRightInd w:val="0"/>
        <w:snapToGrid w:val="0"/>
        <w:spacing w:line="360" w:lineRule="auto"/>
        <w:ind w:firstLine="560" w:firstLineChars="200"/>
        <w:rPr>
          <w:rFonts w:hint="eastAsia" w:ascii="仿宋" w:hAnsi="仿宋" w:eastAsia="仿宋"/>
          <w:bCs/>
          <w:sz w:val="28"/>
          <w:szCs w:val="28"/>
        </w:rPr>
      </w:pPr>
      <w:r>
        <w:rPr>
          <w:rFonts w:hint="eastAsia" w:ascii="仿宋" w:hAnsi="仿宋" w:eastAsia="仿宋"/>
          <w:bCs/>
          <w:sz w:val="28"/>
          <w:szCs w:val="28"/>
        </w:rPr>
        <w:t>联系人：</w:t>
      </w:r>
      <w:r>
        <w:rPr>
          <w:rFonts w:hint="eastAsia" w:ascii="仿宋" w:hAnsi="仿宋" w:eastAsia="仿宋"/>
          <w:bCs/>
          <w:sz w:val="28"/>
          <w:szCs w:val="28"/>
          <w:lang w:val="en-US" w:eastAsia="zh-CN"/>
        </w:rPr>
        <w:t>韩</w:t>
      </w:r>
      <w:r>
        <w:rPr>
          <w:rFonts w:hint="eastAsia" w:ascii="仿宋" w:hAnsi="仿宋" w:eastAsia="仿宋"/>
          <w:bCs/>
          <w:sz w:val="28"/>
          <w:szCs w:val="28"/>
        </w:rPr>
        <w:t>老师</w:t>
      </w:r>
    </w:p>
    <w:p w14:paraId="641C01DA">
      <w:pPr>
        <w:adjustRightInd w:val="0"/>
        <w:snapToGrid w:val="0"/>
        <w:spacing w:line="360" w:lineRule="auto"/>
        <w:ind w:firstLine="560" w:firstLineChars="200"/>
        <w:rPr>
          <w:rFonts w:hint="eastAsia" w:ascii="仿宋" w:hAnsi="仿宋" w:eastAsia="仿宋"/>
          <w:bCs/>
          <w:sz w:val="28"/>
          <w:szCs w:val="28"/>
        </w:rPr>
      </w:pPr>
      <w:r>
        <w:rPr>
          <w:rFonts w:hint="eastAsia" w:ascii="仿宋" w:hAnsi="仿宋" w:eastAsia="仿宋"/>
          <w:bCs/>
          <w:sz w:val="28"/>
          <w:szCs w:val="28"/>
        </w:rPr>
        <w:t>咨询邮箱：</w:t>
      </w:r>
      <w:r>
        <w:fldChar w:fldCharType="begin"/>
      </w:r>
      <w:r>
        <w:instrText xml:space="preserve"> HYPERLINK "mailto:fflu@sspu.edu.cn," </w:instrText>
      </w:r>
      <w:r>
        <w:fldChar w:fldCharType="separate"/>
      </w:r>
      <w:r>
        <w:rPr>
          <w:rFonts w:hint="eastAsia" w:ascii="仿宋" w:hAnsi="仿宋" w:eastAsia="仿宋"/>
          <w:bCs/>
          <w:sz w:val="28"/>
          <w:szCs w:val="28"/>
          <w:lang w:val="en-US" w:eastAsia="zh-CN"/>
        </w:rPr>
        <w:t>hanmeng</w:t>
      </w:r>
      <w:r>
        <w:rPr>
          <w:rFonts w:hint="eastAsia" w:ascii="仿宋" w:hAnsi="仿宋" w:eastAsia="仿宋"/>
          <w:bCs/>
          <w:sz w:val="28"/>
          <w:szCs w:val="28"/>
        </w:rPr>
        <w:t>@sspu.edu.cn</w:t>
      </w:r>
      <w:r>
        <w:rPr>
          <w:rFonts w:hint="eastAsia" w:ascii="仿宋" w:hAnsi="仿宋" w:eastAsia="仿宋"/>
          <w:bCs/>
          <w:sz w:val="28"/>
          <w:szCs w:val="28"/>
        </w:rPr>
        <w:fldChar w:fldCharType="end"/>
      </w:r>
      <w:r>
        <w:rPr>
          <w:rFonts w:hint="eastAsia" w:ascii="仿宋" w:hAnsi="仿宋" w:eastAsia="仿宋"/>
          <w:bCs/>
          <w:sz w:val="28"/>
          <w:szCs w:val="28"/>
        </w:rPr>
        <w:t>（请在邮件标题注明“微专业咨询”）</w:t>
      </w:r>
    </w:p>
    <w:p w14:paraId="217FF1EC">
      <w:pPr>
        <w:widowControl/>
        <w:shd w:val="clear" w:color="auto" w:fill="FFFFFF"/>
        <w:spacing w:line="360" w:lineRule="auto"/>
        <w:ind w:firstLine="480"/>
        <w:rPr>
          <w:rFonts w:hint="eastAsia" w:ascii="微软雅黑" w:hAnsi="微软雅黑" w:eastAsia="微软雅黑" w:cs="微软雅黑"/>
          <w:color w:val="333333"/>
          <w:sz w:val="28"/>
          <w:szCs w:val="28"/>
        </w:rPr>
      </w:pPr>
      <w:r>
        <w:rPr>
          <w:rStyle w:val="19"/>
          <w:rFonts w:hint="eastAsia" w:ascii="微软雅黑" w:hAnsi="微软雅黑" w:eastAsia="微软雅黑" w:cs="微软雅黑"/>
          <w:bCs/>
          <w:color w:val="333333"/>
          <w:kern w:val="0"/>
          <w:sz w:val="28"/>
          <w:szCs w:val="28"/>
          <w:shd w:val="clear" w:color="auto" w:fill="FFFFFF"/>
          <w:lang w:bidi="ar"/>
        </w:rPr>
        <w:t>八、 教学计划与课程简介</w:t>
      </w:r>
    </w:p>
    <w:p w14:paraId="4470A986">
      <w:pPr>
        <w:adjustRightInd w:val="0"/>
        <w:snapToGrid w:val="0"/>
        <w:spacing w:line="360" w:lineRule="auto"/>
        <w:ind w:left="480"/>
        <w:outlineLvl w:val="0"/>
        <w:rPr>
          <w:rFonts w:hint="eastAsia" w:ascii="仿宋" w:hAnsi="仿宋" w:eastAsia="仿宋"/>
          <w:b/>
          <w:sz w:val="24"/>
        </w:rPr>
      </w:pPr>
      <w:r>
        <w:rPr>
          <w:rFonts w:hint="eastAsia" w:ascii="仿宋" w:hAnsi="仿宋" w:eastAsia="仿宋"/>
          <w:b/>
          <w:sz w:val="24"/>
        </w:rPr>
        <w:t>微专业课程设置及教学进程计划表</w:t>
      </w:r>
    </w:p>
    <w:tbl>
      <w:tblPr>
        <w:tblStyle w:val="17"/>
        <w:tblW w:w="97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
        <w:gridCol w:w="1129"/>
        <w:gridCol w:w="1418"/>
        <w:gridCol w:w="992"/>
        <w:gridCol w:w="992"/>
        <w:gridCol w:w="851"/>
        <w:gridCol w:w="992"/>
        <w:gridCol w:w="1514"/>
        <w:gridCol w:w="1321"/>
      </w:tblGrid>
      <w:tr w14:paraId="3F3ED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Merge w:val="restart"/>
            <w:vAlign w:val="center"/>
          </w:tcPr>
          <w:p w14:paraId="31245BC3">
            <w:pPr>
              <w:spacing w:line="360" w:lineRule="auto"/>
              <w:jc w:val="center"/>
              <w:rPr>
                <w:rFonts w:hint="eastAsia" w:ascii="仿宋" w:hAnsi="仿宋" w:eastAsia="仿宋"/>
                <w:bCs/>
                <w:sz w:val="24"/>
              </w:rPr>
            </w:pPr>
            <w:r>
              <w:rPr>
                <w:rFonts w:hint="eastAsia" w:ascii="仿宋" w:hAnsi="仿宋" w:eastAsia="仿宋"/>
                <w:bCs/>
                <w:sz w:val="24"/>
              </w:rPr>
              <w:t>序号</w:t>
            </w:r>
          </w:p>
        </w:tc>
        <w:tc>
          <w:tcPr>
            <w:tcW w:w="2547" w:type="dxa"/>
            <w:gridSpan w:val="2"/>
            <w:vMerge w:val="restart"/>
            <w:vAlign w:val="center"/>
          </w:tcPr>
          <w:p w14:paraId="5AE118C3">
            <w:pPr>
              <w:widowControl/>
              <w:spacing w:line="360" w:lineRule="auto"/>
              <w:jc w:val="center"/>
              <w:rPr>
                <w:rFonts w:hint="eastAsia" w:ascii="仿宋" w:hAnsi="仿宋" w:eastAsia="仿宋"/>
                <w:bCs/>
                <w:spacing w:val="20"/>
                <w:sz w:val="24"/>
              </w:rPr>
            </w:pPr>
            <w:r>
              <w:rPr>
                <w:rFonts w:hint="eastAsia" w:ascii="仿宋" w:hAnsi="仿宋" w:eastAsia="仿宋"/>
                <w:bCs/>
                <w:sz w:val="24"/>
              </w:rPr>
              <w:t>课程名称</w:t>
            </w:r>
          </w:p>
        </w:tc>
        <w:tc>
          <w:tcPr>
            <w:tcW w:w="992" w:type="dxa"/>
            <w:vMerge w:val="restart"/>
            <w:vAlign w:val="center"/>
          </w:tcPr>
          <w:p w14:paraId="087FD147">
            <w:pPr>
              <w:widowControl/>
              <w:spacing w:line="360" w:lineRule="auto"/>
              <w:jc w:val="center"/>
              <w:rPr>
                <w:rFonts w:hint="eastAsia" w:ascii="仿宋" w:hAnsi="仿宋" w:eastAsia="仿宋"/>
                <w:bCs/>
                <w:spacing w:val="20"/>
                <w:sz w:val="24"/>
              </w:rPr>
            </w:pPr>
            <w:r>
              <w:rPr>
                <w:rFonts w:hint="eastAsia" w:ascii="仿宋" w:hAnsi="仿宋" w:eastAsia="仿宋"/>
                <w:bCs/>
                <w:sz w:val="24"/>
              </w:rPr>
              <w:t>学分</w:t>
            </w:r>
          </w:p>
        </w:tc>
        <w:tc>
          <w:tcPr>
            <w:tcW w:w="2835" w:type="dxa"/>
            <w:gridSpan w:val="3"/>
          </w:tcPr>
          <w:p w14:paraId="2A8C3B81">
            <w:pPr>
              <w:widowControl/>
              <w:spacing w:line="360" w:lineRule="auto"/>
              <w:jc w:val="center"/>
              <w:rPr>
                <w:rFonts w:hint="eastAsia" w:ascii="仿宋" w:hAnsi="仿宋" w:eastAsia="仿宋"/>
                <w:bCs/>
                <w:spacing w:val="20"/>
                <w:sz w:val="24"/>
              </w:rPr>
            </w:pPr>
            <w:r>
              <w:rPr>
                <w:rFonts w:hint="eastAsia" w:ascii="仿宋" w:hAnsi="仿宋" w:eastAsia="仿宋"/>
                <w:bCs/>
                <w:spacing w:val="30"/>
                <w:kern w:val="0"/>
                <w:sz w:val="24"/>
                <w:fitText w:val="840" w:id="-433449984"/>
              </w:rPr>
              <w:t>学时</w:t>
            </w:r>
            <w:r>
              <w:rPr>
                <w:rFonts w:hint="eastAsia" w:ascii="仿宋" w:hAnsi="仿宋" w:eastAsia="仿宋"/>
                <w:bCs/>
                <w:spacing w:val="0"/>
                <w:kern w:val="0"/>
                <w:sz w:val="24"/>
                <w:fitText w:val="840" w:id="-433449984"/>
              </w:rPr>
              <w:t>数</w:t>
            </w:r>
          </w:p>
        </w:tc>
        <w:tc>
          <w:tcPr>
            <w:tcW w:w="1514" w:type="dxa"/>
            <w:vMerge w:val="restart"/>
            <w:vAlign w:val="center"/>
          </w:tcPr>
          <w:p w14:paraId="60D38BDE">
            <w:pPr>
              <w:widowControl/>
              <w:spacing w:line="360" w:lineRule="auto"/>
              <w:jc w:val="center"/>
              <w:rPr>
                <w:rFonts w:hint="eastAsia" w:ascii="仿宋" w:hAnsi="仿宋" w:eastAsia="仿宋"/>
                <w:bCs/>
                <w:spacing w:val="20"/>
                <w:sz w:val="24"/>
              </w:rPr>
            </w:pPr>
            <w:r>
              <w:rPr>
                <w:rFonts w:hint="eastAsia" w:ascii="仿宋" w:hAnsi="仿宋" w:eastAsia="仿宋"/>
                <w:bCs/>
                <w:spacing w:val="20"/>
                <w:sz w:val="24"/>
              </w:rPr>
              <w:t>授课方式（混合、线下）</w:t>
            </w:r>
          </w:p>
        </w:tc>
        <w:tc>
          <w:tcPr>
            <w:tcW w:w="1321" w:type="dxa"/>
            <w:vMerge w:val="restart"/>
            <w:vAlign w:val="center"/>
          </w:tcPr>
          <w:p w14:paraId="2EA9B2D8">
            <w:pPr>
              <w:widowControl/>
              <w:spacing w:line="360" w:lineRule="auto"/>
              <w:jc w:val="center"/>
              <w:rPr>
                <w:rFonts w:hint="eastAsia" w:ascii="仿宋" w:hAnsi="仿宋" w:eastAsia="仿宋"/>
                <w:bCs/>
                <w:spacing w:val="20"/>
                <w:sz w:val="24"/>
              </w:rPr>
            </w:pPr>
            <w:r>
              <w:rPr>
                <w:rFonts w:hint="eastAsia" w:ascii="仿宋" w:hAnsi="仿宋" w:eastAsia="仿宋"/>
                <w:bCs/>
                <w:spacing w:val="20"/>
                <w:sz w:val="24"/>
              </w:rPr>
              <w:t>开课学期</w:t>
            </w:r>
          </w:p>
        </w:tc>
      </w:tr>
      <w:tr w14:paraId="7468E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Merge w:val="continue"/>
          </w:tcPr>
          <w:p w14:paraId="67ED5FDB">
            <w:pPr>
              <w:widowControl/>
              <w:spacing w:line="360" w:lineRule="auto"/>
              <w:jc w:val="center"/>
              <w:rPr>
                <w:rFonts w:hint="eastAsia" w:ascii="仿宋" w:hAnsi="仿宋" w:eastAsia="仿宋"/>
                <w:b/>
                <w:spacing w:val="20"/>
                <w:sz w:val="24"/>
              </w:rPr>
            </w:pPr>
          </w:p>
        </w:tc>
        <w:tc>
          <w:tcPr>
            <w:tcW w:w="2547" w:type="dxa"/>
            <w:gridSpan w:val="2"/>
            <w:vMerge w:val="continue"/>
            <w:vAlign w:val="center"/>
          </w:tcPr>
          <w:p w14:paraId="188340D5">
            <w:pPr>
              <w:widowControl/>
              <w:spacing w:line="360" w:lineRule="auto"/>
              <w:jc w:val="center"/>
              <w:rPr>
                <w:rFonts w:hint="eastAsia" w:ascii="仿宋" w:hAnsi="仿宋" w:eastAsia="仿宋"/>
                <w:b/>
                <w:spacing w:val="20"/>
                <w:sz w:val="24"/>
              </w:rPr>
            </w:pPr>
          </w:p>
        </w:tc>
        <w:tc>
          <w:tcPr>
            <w:tcW w:w="992" w:type="dxa"/>
            <w:vMerge w:val="continue"/>
            <w:vAlign w:val="center"/>
          </w:tcPr>
          <w:p w14:paraId="7E5AF0E9">
            <w:pPr>
              <w:widowControl/>
              <w:spacing w:line="360" w:lineRule="auto"/>
              <w:jc w:val="center"/>
              <w:rPr>
                <w:rFonts w:hint="eastAsia" w:ascii="仿宋" w:hAnsi="仿宋" w:eastAsia="仿宋"/>
                <w:b/>
                <w:spacing w:val="20"/>
                <w:sz w:val="24"/>
              </w:rPr>
            </w:pPr>
          </w:p>
        </w:tc>
        <w:tc>
          <w:tcPr>
            <w:tcW w:w="992" w:type="dxa"/>
            <w:vAlign w:val="center"/>
          </w:tcPr>
          <w:p w14:paraId="01D90A11">
            <w:pPr>
              <w:widowControl/>
              <w:spacing w:line="360" w:lineRule="auto"/>
              <w:jc w:val="center"/>
              <w:rPr>
                <w:rFonts w:hint="eastAsia" w:ascii="仿宋" w:hAnsi="仿宋" w:eastAsia="仿宋"/>
                <w:bCs/>
                <w:spacing w:val="20"/>
                <w:sz w:val="24"/>
              </w:rPr>
            </w:pPr>
            <w:r>
              <w:rPr>
                <w:rFonts w:hint="eastAsia" w:ascii="仿宋" w:hAnsi="仿宋" w:eastAsia="仿宋"/>
                <w:bCs/>
                <w:sz w:val="24"/>
              </w:rPr>
              <w:t>总学时</w:t>
            </w:r>
          </w:p>
        </w:tc>
        <w:tc>
          <w:tcPr>
            <w:tcW w:w="851" w:type="dxa"/>
            <w:vAlign w:val="center"/>
          </w:tcPr>
          <w:p w14:paraId="7E63E58B">
            <w:pPr>
              <w:widowControl/>
              <w:spacing w:line="360" w:lineRule="auto"/>
              <w:jc w:val="center"/>
              <w:rPr>
                <w:rFonts w:hint="eastAsia" w:ascii="仿宋" w:hAnsi="仿宋" w:eastAsia="仿宋"/>
                <w:bCs/>
                <w:sz w:val="24"/>
              </w:rPr>
            </w:pPr>
            <w:r>
              <w:rPr>
                <w:rFonts w:hint="eastAsia" w:ascii="仿宋" w:hAnsi="仿宋" w:eastAsia="仿宋"/>
                <w:bCs/>
                <w:sz w:val="24"/>
              </w:rPr>
              <w:t>理论</w:t>
            </w:r>
          </w:p>
          <w:p w14:paraId="596A0E9E">
            <w:pPr>
              <w:widowControl/>
              <w:spacing w:line="360" w:lineRule="auto"/>
              <w:jc w:val="center"/>
              <w:rPr>
                <w:rFonts w:hint="eastAsia" w:ascii="仿宋" w:hAnsi="仿宋" w:eastAsia="仿宋"/>
                <w:bCs/>
                <w:spacing w:val="20"/>
                <w:sz w:val="24"/>
              </w:rPr>
            </w:pPr>
            <w:r>
              <w:rPr>
                <w:rFonts w:hint="eastAsia" w:ascii="仿宋" w:hAnsi="仿宋" w:eastAsia="仿宋"/>
                <w:bCs/>
                <w:sz w:val="24"/>
              </w:rPr>
              <w:t>学时</w:t>
            </w:r>
          </w:p>
        </w:tc>
        <w:tc>
          <w:tcPr>
            <w:tcW w:w="992" w:type="dxa"/>
            <w:vAlign w:val="center"/>
          </w:tcPr>
          <w:p w14:paraId="54BF9D63">
            <w:pPr>
              <w:widowControl/>
              <w:spacing w:line="360" w:lineRule="auto"/>
              <w:jc w:val="center"/>
              <w:rPr>
                <w:rFonts w:hint="eastAsia" w:ascii="仿宋" w:hAnsi="仿宋" w:eastAsia="仿宋"/>
                <w:bCs/>
                <w:sz w:val="24"/>
              </w:rPr>
            </w:pPr>
            <w:r>
              <w:rPr>
                <w:rFonts w:hint="eastAsia" w:ascii="仿宋" w:hAnsi="仿宋" w:eastAsia="仿宋"/>
                <w:bCs/>
                <w:sz w:val="24"/>
              </w:rPr>
              <w:t>实践</w:t>
            </w:r>
          </w:p>
          <w:p w14:paraId="5605BE93">
            <w:pPr>
              <w:widowControl/>
              <w:spacing w:line="360" w:lineRule="auto"/>
              <w:jc w:val="center"/>
              <w:rPr>
                <w:rFonts w:hint="eastAsia" w:ascii="仿宋" w:hAnsi="仿宋" w:eastAsia="仿宋"/>
                <w:bCs/>
                <w:spacing w:val="20"/>
                <w:sz w:val="24"/>
              </w:rPr>
            </w:pPr>
            <w:r>
              <w:rPr>
                <w:rFonts w:hint="eastAsia" w:ascii="仿宋" w:hAnsi="仿宋" w:eastAsia="仿宋"/>
                <w:bCs/>
                <w:sz w:val="24"/>
              </w:rPr>
              <w:t>学时</w:t>
            </w:r>
          </w:p>
        </w:tc>
        <w:tc>
          <w:tcPr>
            <w:tcW w:w="1514" w:type="dxa"/>
            <w:vMerge w:val="continue"/>
            <w:vAlign w:val="center"/>
          </w:tcPr>
          <w:p w14:paraId="356CDE8D">
            <w:pPr>
              <w:widowControl/>
              <w:spacing w:line="360" w:lineRule="auto"/>
              <w:jc w:val="center"/>
              <w:rPr>
                <w:rFonts w:hint="eastAsia" w:ascii="仿宋" w:hAnsi="仿宋" w:eastAsia="仿宋"/>
                <w:b/>
                <w:spacing w:val="20"/>
                <w:sz w:val="24"/>
              </w:rPr>
            </w:pPr>
          </w:p>
        </w:tc>
        <w:tc>
          <w:tcPr>
            <w:tcW w:w="1321" w:type="dxa"/>
            <w:vMerge w:val="continue"/>
            <w:vAlign w:val="center"/>
          </w:tcPr>
          <w:p w14:paraId="2CA29633">
            <w:pPr>
              <w:widowControl/>
              <w:spacing w:line="360" w:lineRule="auto"/>
              <w:jc w:val="center"/>
              <w:rPr>
                <w:rFonts w:hint="eastAsia" w:ascii="仿宋" w:hAnsi="仿宋" w:eastAsia="仿宋"/>
                <w:b/>
                <w:spacing w:val="20"/>
                <w:szCs w:val="21"/>
              </w:rPr>
            </w:pPr>
          </w:p>
        </w:tc>
      </w:tr>
      <w:tr w14:paraId="62B8E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14:paraId="777BD84A">
            <w:pPr>
              <w:widowControl/>
              <w:spacing w:line="360" w:lineRule="auto"/>
              <w:jc w:val="center"/>
              <w:rPr>
                <w:rFonts w:hint="eastAsia" w:ascii="仿宋" w:hAnsi="仿宋" w:eastAsia="仿宋"/>
                <w:bCs/>
                <w:sz w:val="24"/>
              </w:rPr>
            </w:pPr>
            <w:r>
              <w:rPr>
                <w:rFonts w:hint="eastAsia" w:ascii="仿宋" w:hAnsi="仿宋" w:eastAsia="仿宋"/>
                <w:bCs/>
                <w:sz w:val="24"/>
              </w:rPr>
              <w:t>1</w:t>
            </w:r>
          </w:p>
        </w:tc>
        <w:tc>
          <w:tcPr>
            <w:tcW w:w="2547" w:type="dxa"/>
            <w:gridSpan w:val="2"/>
            <w:vAlign w:val="center"/>
          </w:tcPr>
          <w:p w14:paraId="65257382">
            <w:pPr>
              <w:widowControl/>
              <w:spacing w:line="360" w:lineRule="auto"/>
              <w:jc w:val="center"/>
              <w:rPr>
                <w:rFonts w:hint="eastAsia" w:ascii="仿宋" w:hAnsi="仿宋" w:eastAsia="仿宋"/>
                <w:bCs/>
                <w:sz w:val="24"/>
              </w:rPr>
            </w:pPr>
            <w:r>
              <w:rPr>
                <w:rFonts w:hint="eastAsia" w:ascii="仿宋" w:hAnsi="仿宋" w:eastAsia="仿宋"/>
                <w:bCs/>
                <w:sz w:val="24"/>
              </w:rPr>
              <w:t>集成电路装备概论</w:t>
            </w:r>
          </w:p>
        </w:tc>
        <w:tc>
          <w:tcPr>
            <w:tcW w:w="992" w:type="dxa"/>
            <w:vAlign w:val="center"/>
          </w:tcPr>
          <w:p w14:paraId="68CD4054">
            <w:pPr>
              <w:widowControl/>
              <w:spacing w:line="360" w:lineRule="auto"/>
              <w:jc w:val="center"/>
              <w:rPr>
                <w:rFonts w:hint="eastAsia" w:ascii="仿宋" w:hAnsi="仿宋" w:eastAsia="仿宋"/>
                <w:bCs/>
                <w:sz w:val="24"/>
              </w:rPr>
            </w:pPr>
            <w:r>
              <w:rPr>
                <w:rFonts w:hint="eastAsia" w:ascii="仿宋" w:hAnsi="仿宋" w:eastAsia="仿宋"/>
                <w:bCs/>
                <w:sz w:val="24"/>
              </w:rPr>
              <w:t>2</w:t>
            </w:r>
          </w:p>
        </w:tc>
        <w:tc>
          <w:tcPr>
            <w:tcW w:w="992" w:type="dxa"/>
            <w:vAlign w:val="center"/>
          </w:tcPr>
          <w:p w14:paraId="2529CB42">
            <w:pPr>
              <w:widowControl/>
              <w:spacing w:line="360" w:lineRule="auto"/>
              <w:jc w:val="center"/>
              <w:rPr>
                <w:rFonts w:hint="eastAsia" w:ascii="仿宋" w:hAnsi="仿宋" w:eastAsia="仿宋"/>
                <w:bCs/>
                <w:sz w:val="24"/>
              </w:rPr>
            </w:pPr>
            <w:r>
              <w:rPr>
                <w:rFonts w:hint="eastAsia" w:ascii="仿宋" w:hAnsi="仿宋" w:eastAsia="仿宋"/>
                <w:bCs/>
                <w:sz w:val="24"/>
              </w:rPr>
              <w:t>32</w:t>
            </w:r>
          </w:p>
        </w:tc>
        <w:tc>
          <w:tcPr>
            <w:tcW w:w="851" w:type="dxa"/>
            <w:vAlign w:val="center"/>
          </w:tcPr>
          <w:p w14:paraId="4F67564D">
            <w:pPr>
              <w:widowControl/>
              <w:spacing w:line="360" w:lineRule="auto"/>
              <w:jc w:val="center"/>
              <w:rPr>
                <w:rFonts w:hint="eastAsia" w:ascii="仿宋" w:hAnsi="仿宋" w:eastAsia="仿宋"/>
                <w:bCs/>
                <w:sz w:val="24"/>
              </w:rPr>
            </w:pPr>
            <w:r>
              <w:rPr>
                <w:rFonts w:hint="eastAsia" w:ascii="仿宋" w:hAnsi="仿宋" w:eastAsia="仿宋"/>
                <w:bCs/>
                <w:sz w:val="24"/>
              </w:rPr>
              <w:t>32</w:t>
            </w:r>
          </w:p>
        </w:tc>
        <w:tc>
          <w:tcPr>
            <w:tcW w:w="992" w:type="dxa"/>
            <w:vAlign w:val="center"/>
          </w:tcPr>
          <w:p w14:paraId="4A66B212">
            <w:pPr>
              <w:widowControl/>
              <w:spacing w:line="360" w:lineRule="auto"/>
              <w:jc w:val="center"/>
              <w:rPr>
                <w:rFonts w:hint="eastAsia" w:ascii="仿宋" w:hAnsi="仿宋" w:eastAsia="仿宋"/>
                <w:bCs/>
                <w:sz w:val="24"/>
              </w:rPr>
            </w:pPr>
            <w:r>
              <w:rPr>
                <w:rFonts w:hint="eastAsia" w:ascii="仿宋" w:hAnsi="仿宋" w:eastAsia="仿宋"/>
                <w:bCs/>
                <w:sz w:val="24"/>
              </w:rPr>
              <w:t>0</w:t>
            </w:r>
          </w:p>
        </w:tc>
        <w:tc>
          <w:tcPr>
            <w:tcW w:w="1514" w:type="dxa"/>
            <w:vAlign w:val="center"/>
          </w:tcPr>
          <w:p w14:paraId="60CA3E2B">
            <w:pPr>
              <w:widowControl/>
              <w:spacing w:line="360" w:lineRule="auto"/>
              <w:jc w:val="center"/>
              <w:rPr>
                <w:rFonts w:hint="eastAsia" w:ascii="仿宋" w:hAnsi="仿宋" w:eastAsia="仿宋"/>
                <w:bCs/>
                <w:sz w:val="24"/>
              </w:rPr>
            </w:pPr>
            <w:r>
              <w:rPr>
                <w:rFonts w:hint="eastAsia" w:ascii="仿宋" w:hAnsi="仿宋" w:eastAsia="仿宋"/>
                <w:bCs/>
                <w:sz w:val="24"/>
              </w:rPr>
              <w:t>混合</w:t>
            </w:r>
          </w:p>
        </w:tc>
        <w:tc>
          <w:tcPr>
            <w:tcW w:w="1321" w:type="dxa"/>
            <w:vAlign w:val="center"/>
          </w:tcPr>
          <w:p w14:paraId="49BFEB76">
            <w:pPr>
              <w:widowControl/>
              <w:spacing w:line="360" w:lineRule="auto"/>
              <w:jc w:val="center"/>
              <w:rPr>
                <w:rFonts w:hint="eastAsia" w:ascii="仿宋" w:hAnsi="仿宋" w:eastAsia="仿宋"/>
                <w:bCs/>
                <w:sz w:val="24"/>
              </w:rPr>
            </w:pPr>
            <w:r>
              <w:rPr>
                <w:rFonts w:hint="eastAsia" w:ascii="仿宋" w:hAnsi="仿宋" w:eastAsia="仿宋"/>
                <w:bCs/>
                <w:sz w:val="24"/>
              </w:rPr>
              <w:t>微专业一</w:t>
            </w:r>
          </w:p>
        </w:tc>
      </w:tr>
      <w:tr w14:paraId="14BA0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14:paraId="698FA895">
            <w:pPr>
              <w:widowControl/>
              <w:spacing w:line="360" w:lineRule="auto"/>
              <w:jc w:val="center"/>
              <w:rPr>
                <w:rFonts w:hint="eastAsia" w:ascii="仿宋" w:hAnsi="仿宋" w:eastAsia="仿宋"/>
                <w:bCs/>
                <w:sz w:val="24"/>
              </w:rPr>
            </w:pPr>
            <w:r>
              <w:rPr>
                <w:rFonts w:hint="eastAsia" w:ascii="仿宋" w:hAnsi="仿宋" w:eastAsia="仿宋"/>
                <w:bCs/>
                <w:sz w:val="24"/>
              </w:rPr>
              <w:t>2</w:t>
            </w:r>
          </w:p>
        </w:tc>
        <w:tc>
          <w:tcPr>
            <w:tcW w:w="2547" w:type="dxa"/>
            <w:gridSpan w:val="2"/>
            <w:vAlign w:val="center"/>
          </w:tcPr>
          <w:p w14:paraId="47433944">
            <w:pPr>
              <w:widowControl/>
              <w:spacing w:line="360" w:lineRule="auto"/>
              <w:jc w:val="center"/>
              <w:rPr>
                <w:rFonts w:hint="eastAsia" w:ascii="仿宋" w:hAnsi="仿宋" w:eastAsia="仿宋"/>
                <w:bCs/>
                <w:sz w:val="24"/>
              </w:rPr>
            </w:pPr>
            <w:r>
              <w:rPr>
                <w:rFonts w:hint="eastAsia" w:ascii="仿宋" w:hAnsi="仿宋" w:eastAsia="仿宋" w:cs="Arial"/>
                <w:color w:val="000000"/>
                <w:sz w:val="24"/>
              </w:rPr>
              <w:t>工程光学</w:t>
            </w:r>
          </w:p>
        </w:tc>
        <w:tc>
          <w:tcPr>
            <w:tcW w:w="992" w:type="dxa"/>
            <w:vAlign w:val="center"/>
          </w:tcPr>
          <w:p w14:paraId="78F8B712">
            <w:pPr>
              <w:widowControl/>
              <w:spacing w:line="360" w:lineRule="auto"/>
              <w:jc w:val="center"/>
              <w:rPr>
                <w:rFonts w:hint="eastAsia" w:ascii="仿宋" w:hAnsi="仿宋" w:eastAsia="仿宋"/>
                <w:bCs/>
                <w:sz w:val="24"/>
              </w:rPr>
            </w:pPr>
            <w:r>
              <w:rPr>
                <w:rFonts w:hint="eastAsia" w:ascii="仿宋" w:hAnsi="仿宋" w:eastAsia="仿宋"/>
                <w:bCs/>
                <w:sz w:val="24"/>
              </w:rPr>
              <w:t>2</w:t>
            </w:r>
          </w:p>
        </w:tc>
        <w:tc>
          <w:tcPr>
            <w:tcW w:w="992" w:type="dxa"/>
            <w:vAlign w:val="center"/>
          </w:tcPr>
          <w:p w14:paraId="789437C7">
            <w:pPr>
              <w:widowControl/>
              <w:spacing w:line="360" w:lineRule="auto"/>
              <w:jc w:val="center"/>
              <w:rPr>
                <w:rFonts w:hint="eastAsia" w:ascii="仿宋" w:hAnsi="仿宋" w:eastAsia="仿宋"/>
                <w:bCs/>
                <w:sz w:val="24"/>
              </w:rPr>
            </w:pPr>
            <w:r>
              <w:rPr>
                <w:rFonts w:hint="eastAsia" w:ascii="仿宋" w:hAnsi="仿宋" w:eastAsia="仿宋"/>
                <w:bCs/>
                <w:sz w:val="24"/>
              </w:rPr>
              <w:t>32</w:t>
            </w:r>
          </w:p>
        </w:tc>
        <w:tc>
          <w:tcPr>
            <w:tcW w:w="851" w:type="dxa"/>
            <w:vAlign w:val="center"/>
          </w:tcPr>
          <w:p w14:paraId="692CD270">
            <w:pPr>
              <w:widowControl/>
              <w:spacing w:line="360" w:lineRule="auto"/>
              <w:jc w:val="center"/>
              <w:rPr>
                <w:rFonts w:hint="eastAsia" w:ascii="仿宋" w:hAnsi="仿宋" w:eastAsia="仿宋"/>
                <w:bCs/>
                <w:sz w:val="24"/>
              </w:rPr>
            </w:pPr>
            <w:r>
              <w:rPr>
                <w:rFonts w:hint="eastAsia" w:ascii="仿宋" w:hAnsi="仿宋" w:eastAsia="仿宋"/>
                <w:bCs/>
                <w:sz w:val="24"/>
              </w:rPr>
              <w:t>24</w:t>
            </w:r>
          </w:p>
        </w:tc>
        <w:tc>
          <w:tcPr>
            <w:tcW w:w="992" w:type="dxa"/>
            <w:vAlign w:val="center"/>
          </w:tcPr>
          <w:p w14:paraId="77920A58">
            <w:pPr>
              <w:widowControl/>
              <w:spacing w:line="360" w:lineRule="auto"/>
              <w:jc w:val="center"/>
              <w:rPr>
                <w:rFonts w:hint="eastAsia" w:ascii="仿宋" w:hAnsi="仿宋" w:eastAsia="仿宋"/>
                <w:bCs/>
                <w:sz w:val="24"/>
              </w:rPr>
            </w:pPr>
            <w:r>
              <w:rPr>
                <w:rFonts w:hint="eastAsia" w:ascii="仿宋" w:hAnsi="仿宋" w:eastAsia="仿宋"/>
                <w:bCs/>
                <w:sz w:val="24"/>
              </w:rPr>
              <w:t>8</w:t>
            </w:r>
          </w:p>
        </w:tc>
        <w:tc>
          <w:tcPr>
            <w:tcW w:w="1514" w:type="dxa"/>
            <w:vAlign w:val="center"/>
          </w:tcPr>
          <w:p w14:paraId="38A3D53E">
            <w:pPr>
              <w:widowControl/>
              <w:spacing w:line="360" w:lineRule="auto"/>
              <w:jc w:val="center"/>
              <w:rPr>
                <w:rFonts w:hint="eastAsia" w:ascii="仿宋" w:hAnsi="仿宋" w:eastAsia="仿宋"/>
                <w:bCs/>
                <w:sz w:val="24"/>
              </w:rPr>
            </w:pPr>
            <w:r>
              <w:rPr>
                <w:rFonts w:hint="eastAsia" w:ascii="仿宋" w:hAnsi="仿宋" w:eastAsia="仿宋"/>
                <w:bCs/>
                <w:sz w:val="24"/>
              </w:rPr>
              <w:t>混合</w:t>
            </w:r>
          </w:p>
        </w:tc>
        <w:tc>
          <w:tcPr>
            <w:tcW w:w="1321" w:type="dxa"/>
            <w:vAlign w:val="center"/>
          </w:tcPr>
          <w:p w14:paraId="00388E5C">
            <w:pPr>
              <w:widowControl/>
              <w:spacing w:line="360" w:lineRule="auto"/>
              <w:jc w:val="center"/>
              <w:rPr>
                <w:rFonts w:hint="eastAsia" w:ascii="仿宋" w:hAnsi="仿宋" w:eastAsia="仿宋"/>
                <w:bCs/>
                <w:sz w:val="24"/>
              </w:rPr>
            </w:pPr>
            <w:r>
              <w:rPr>
                <w:rFonts w:hint="eastAsia" w:ascii="仿宋" w:hAnsi="仿宋" w:eastAsia="仿宋"/>
                <w:bCs/>
                <w:sz w:val="24"/>
              </w:rPr>
              <w:t>微专业一</w:t>
            </w:r>
          </w:p>
        </w:tc>
      </w:tr>
      <w:tr w14:paraId="1C75F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14:paraId="3F0F8EC6">
            <w:pPr>
              <w:widowControl/>
              <w:spacing w:line="360" w:lineRule="auto"/>
              <w:jc w:val="center"/>
              <w:rPr>
                <w:rFonts w:hint="eastAsia" w:ascii="仿宋" w:hAnsi="仿宋" w:eastAsia="仿宋"/>
                <w:bCs/>
                <w:sz w:val="24"/>
              </w:rPr>
            </w:pPr>
            <w:r>
              <w:rPr>
                <w:rFonts w:hint="eastAsia" w:ascii="仿宋" w:hAnsi="仿宋" w:eastAsia="仿宋"/>
                <w:bCs/>
                <w:sz w:val="24"/>
              </w:rPr>
              <w:t>3</w:t>
            </w:r>
          </w:p>
        </w:tc>
        <w:tc>
          <w:tcPr>
            <w:tcW w:w="2547" w:type="dxa"/>
            <w:gridSpan w:val="2"/>
            <w:vAlign w:val="center"/>
          </w:tcPr>
          <w:p w14:paraId="52E5251D">
            <w:pPr>
              <w:widowControl/>
              <w:spacing w:line="360" w:lineRule="auto"/>
              <w:jc w:val="center"/>
              <w:rPr>
                <w:rFonts w:hint="eastAsia" w:ascii="仿宋" w:hAnsi="仿宋" w:eastAsia="仿宋"/>
                <w:bCs/>
                <w:sz w:val="24"/>
              </w:rPr>
            </w:pPr>
            <w:r>
              <w:rPr>
                <w:rFonts w:hint="eastAsia" w:ascii="仿宋" w:hAnsi="仿宋" w:eastAsia="仿宋"/>
                <w:bCs/>
                <w:sz w:val="24"/>
              </w:rPr>
              <w:t>机电系统调试基础</w:t>
            </w:r>
          </w:p>
        </w:tc>
        <w:tc>
          <w:tcPr>
            <w:tcW w:w="992" w:type="dxa"/>
            <w:vAlign w:val="center"/>
          </w:tcPr>
          <w:p w14:paraId="3BCDBE20">
            <w:pPr>
              <w:widowControl/>
              <w:spacing w:line="360" w:lineRule="auto"/>
              <w:jc w:val="center"/>
              <w:rPr>
                <w:rFonts w:hint="eastAsia" w:ascii="仿宋" w:hAnsi="仿宋" w:eastAsia="仿宋"/>
                <w:bCs/>
                <w:sz w:val="24"/>
              </w:rPr>
            </w:pPr>
            <w:r>
              <w:rPr>
                <w:rFonts w:hint="eastAsia" w:ascii="仿宋" w:hAnsi="仿宋" w:eastAsia="仿宋"/>
                <w:bCs/>
                <w:sz w:val="24"/>
              </w:rPr>
              <w:t>2</w:t>
            </w:r>
          </w:p>
        </w:tc>
        <w:tc>
          <w:tcPr>
            <w:tcW w:w="992" w:type="dxa"/>
            <w:vAlign w:val="center"/>
          </w:tcPr>
          <w:p w14:paraId="5F039D60">
            <w:pPr>
              <w:widowControl/>
              <w:spacing w:line="360" w:lineRule="auto"/>
              <w:jc w:val="center"/>
              <w:rPr>
                <w:rFonts w:hint="eastAsia" w:ascii="仿宋" w:hAnsi="仿宋" w:eastAsia="仿宋"/>
                <w:bCs/>
                <w:sz w:val="24"/>
              </w:rPr>
            </w:pPr>
            <w:r>
              <w:rPr>
                <w:rFonts w:hint="eastAsia" w:ascii="仿宋" w:hAnsi="仿宋" w:eastAsia="仿宋"/>
                <w:bCs/>
                <w:sz w:val="24"/>
              </w:rPr>
              <w:t>32</w:t>
            </w:r>
          </w:p>
        </w:tc>
        <w:tc>
          <w:tcPr>
            <w:tcW w:w="851" w:type="dxa"/>
            <w:vAlign w:val="center"/>
          </w:tcPr>
          <w:p w14:paraId="28B95E38">
            <w:pPr>
              <w:widowControl/>
              <w:spacing w:line="360" w:lineRule="auto"/>
              <w:jc w:val="center"/>
              <w:rPr>
                <w:rFonts w:hint="eastAsia" w:ascii="仿宋" w:hAnsi="仿宋" w:eastAsia="仿宋"/>
                <w:bCs/>
                <w:sz w:val="24"/>
              </w:rPr>
            </w:pPr>
            <w:r>
              <w:rPr>
                <w:rFonts w:hint="eastAsia" w:ascii="仿宋" w:hAnsi="仿宋" w:eastAsia="仿宋"/>
                <w:bCs/>
                <w:sz w:val="24"/>
              </w:rPr>
              <w:t>16</w:t>
            </w:r>
          </w:p>
        </w:tc>
        <w:tc>
          <w:tcPr>
            <w:tcW w:w="992" w:type="dxa"/>
            <w:vAlign w:val="center"/>
          </w:tcPr>
          <w:p w14:paraId="6A6044DC">
            <w:pPr>
              <w:widowControl/>
              <w:spacing w:line="360" w:lineRule="auto"/>
              <w:jc w:val="center"/>
              <w:rPr>
                <w:rFonts w:hint="eastAsia" w:ascii="仿宋" w:hAnsi="仿宋" w:eastAsia="仿宋"/>
                <w:bCs/>
                <w:sz w:val="24"/>
              </w:rPr>
            </w:pPr>
            <w:r>
              <w:rPr>
                <w:rFonts w:hint="eastAsia" w:ascii="仿宋" w:hAnsi="仿宋" w:eastAsia="仿宋"/>
                <w:bCs/>
                <w:sz w:val="24"/>
              </w:rPr>
              <w:t>16</w:t>
            </w:r>
          </w:p>
        </w:tc>
        <w:tc>
          <w:tcPr>
            <w:tcW w:w="1514" w:type="dxa"/>
            <w:vAlign w:val="center"/>
          </w:tcPr>
          <w:p w14:paraId="0A3EA6CF">
            <w:pPr>
              <w:widowControl/>
              <w:spacing w:line="360" w:lineRule="auto"/>
              <w:jc w:val="center"/>
              <w:rPr>
                <w:rFonts w:hint="eastAsia" w:ascii="仿宋" w:hAnsi="仿宋" w:eastAsia="仿宋"/>
                <w:bCs/>
                <w:sz w:val="24"/>
              </w:rPr>
            </w:pPr>
            <w:r>
              <w:rPr>
                <w:rFonts w:hint="eastAsia" w:ascii="仿宋" w:hAnsi="仿宋" w:eastAsia="仿宋"/>
                <w:bCs/>
                <w:sz w:val="24"/>
              </w:rPr>
              <w:t>混合</w:t>
            </w:r>
          </w:p>
        </w:tc>
        <w:tc>
          <w:tcPr>
            <w:tcW w:w="1321" w:type="dxa"/>
            <w:vAlign w:val="center"/>
          </w:tcPr>
          <w:p w14:paraId="2092027B">
            <w:pPr>
              <w:widowControl/>
              <w:spacing w:line="360" w:lineRule="auto"/>
              <w:jc w:val="center"/>
              <w:rPr>
                <w:rFonts w:hint="eastAsia" w:ascii="仿宋" w:hAnsi="仿宋" w:eastAsia="仿宋"/>
                <w:bCs/>
                <w:sz w:val="24"/>
              </w:rPr>
            </w:pPr>
            <w:r>
              <w:rPr>
                <w:rFonts w:hint="eastAsia" w:ascii="仿宋" w:hAnsi="仿宋" w:eastAsia="仿宋"/>
                <w:bCs/>
                <w:sz w:val="24"/>
              </w:rPr>
              <w:t>微专业二</w:t>
            </w:r>
          </w:p>
        </w:tc>
      </w:tr>
      <w:tr w14:paraId="2BC10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14:paraId="741559D3">
            <w:pPr>
              <w:widowControl/>
              <w:spacing w:line="360" w:lineRule="auto"/>
              <w:jc w:val="center"/>
              <w:rPr>
                <w:rFonts w:hint="eastAsia" w:ascii="仿宋" w:hAnsi="仿宋" w:eastAsia="仿宋"/>
                <w:bCs/>
                <w:sz w:val="24"/>
              </w:rPr>
            </w:pPr>
            <w:r>
              <w:rPr>
                <w:rFonts w:hint="eastAsia" w:ascii="仿宋" w:hAnsi="仿宋" w:eastAsia="仿宋"/>
                <w:bCs/>
                <w:sz w:val="24"/>
              </w:rPr>
              <w:t>4</w:t>
            </w:r>
          </w:p>
        </w:tc>
        <w:tc>
          <w:tcPr>
            <w:tcW w:w="2547" w:type="dxa"/>
            <w:gridSpan w:val="2"/>
            <w:vAlign w:val="center"/>
          </w:tcPr>
          <w:p w14:paraId="7223F99F">
            <w:pPr>
              <w:widowControl/>
              <w:spacing w:line="360" w:lineRule="auto"/>
              <w:jc w:val="center"/>
              <w:rPr>
                <w:rFonts w:hint="eastAsia" w:ascii="仿宋" w:hAnsi="仿宋" w:eastAsia="仿宋"/>
                <w:bCs/>
                <w:sz w:val="24"/>
              </w:rPr>
            </w:pPr>
            <w:r>
              <w:rPr>
                <w:rFonts w:hint="eastAsia" w:ascii="仿宋" w:hAnsi="仿宋" w:eastAsia="仿宋" w:cs="Arial"/>
                <w:color w:val="000000"/>
                <w:sz w:val="24"/>
              </w:rPr>
              <w:t>光学系统调试基础</w:t>
            </w:r>
          </w:p>
        </w:tc>
        <w:tc>
          <w:tcPr>
            <w:tcW w:w="992" w:type="dxa"/>
            <w:vAlign w:val="center"/>
          </w:tcPr>
          <w:p w14:paraId="692C4045">
            <w:pPr>
              <w:widowControl/>
              <w:spacing w:line="360" w:lineRule="auto"/>
              <w:jc w:val="center"/>
              <w:rPr>
                <w:rFonts w:hint="eastAsia" w:ascii="仿宋" w:hAnsi="仿宋" w:eastAsia="仿宋"/>
                <w:bCs/>
                <w:sz w:val="24"/>
              </w:rPr>
            </w:pPr>
            <w:r>
              <w:rPr>
                <w:rFonts w:hint="eastAsia" w:ascii="仿宋" w:hAnsi="仿宋" w:eastAsia="仿宋"/>
                <w:bCs/>
                <w:sz w:val="24"/>
              </w:rPr>
              <w:t>2</w:t>
            </w:r>
          </w:p>
        </w:tc>
        <w:tc>
          <w:tcPr>
            <w:tcW w:w="992" w:type="dxa"/>
            <w:vAlign w:val="center"/>
          </w:tcPr>
          <w:p w14:paraId="61AA8C7A">
            <w:pPr>
              <w:widowControl/>
              <w:spacing w:line="360" w:lineRule="auto"/>
              <w:jc w:val="center"/>
              <w:rPr>
                <w:rFonts w:hint="eastAsia" w:ascii="仿宋" w:hAnsi="仿宋" w:eastAsia="仿宋"/>
                <w:bCs/>
                <w:sz w:val="24"/>
              </w:rPr>
            </w:pPr>
            <w:r>
              <w:rPr>
                <w:rFonts w:hint="eastAsia" w:ascii="仿宋" w:hAnsi="仿宋" w:eastAsia="仿宋"/>
                <w:bCs/>
                <w:sz w:val="24"/>
              </w:rPr>
              <w:t>32</w:t>
            </w:r>
          </w:p>
        </w:tc>
        <w:tc>
          <w:tcPr>
            <w:tcW w:w="851" w:type="dxa"/>
            <w:vAlign w:val="center"/>
          </w:tcPr>
          <w:p w14:paraId="66DC165C">
            <w:pPr>
              <w:widowControl/>
              <w:spacing w:line="360" w:lineRule="auto"/>
              <w:jc w:val="center"/>
              <w:rPr>
                <w:rFonts w:hint="eastAsia" w:ascii="仿宋" w:hAnsi="仿宋" w:eastAsia="仿宋"/>
                <w:bCs/>
                <w:sz w:val="24"/>
              </w:rPr>
            </w:pPr>
            <w:r>
              <w:rPr>
                <w:rFonts w:hint="eastAsia" w:ascii="仿宋" w:hAnsi="仿宋" w:eastAsia="仿宋"/>
                <w:bCs/>
                <w:sz w:val="24"/>
              </w:rPr>
              <w:t>16</w:t>
            </w:r>
          </w:p>
        </w:tc>
        <w:tc>
          <w:tcPr>
            <w:tcW w:w="992" w:type="dxa"/>
            <w:vAlign w:val="center"/>
          </w:tcPr>
          <w:p w14:paraId="2452B2CC">
            <w:pPr>
              <w:widowControl/>
              <w:spacing w:line="360" w:lineRule="auto"/>
              <w:jc w:val="center"/>
              <w:rPr>
                <w:rFonts w:hint="eastAsia" w:ascii="仿宋" w:hAnsi="仿宋" w:eastAsia="仿宋"/>
                <w:bCs/>
                <w:sz w:val="24"/>
              </w:rPr>
            </w:pPr>
            <w:r>
              <w:rPr>
                <w:rFonts w:hint="eastAsia" w:ascii="仿宋" w:hAnsi="仿宋" w:eastAsia="仿宋"/>
                <w:bCs/>
                <w:sz w:val="24"/>
              </w:rPr>
              <w:t>16</w:t>
            </w:r>
          </w:p>
        </w:tc>
        <w:tc>
          <w:tcPr>
            <w:tcW w:w="1514" w:type="dxa"/>
            <w:vAlign w:val="center"/>
          </w:tcPr>
          <w:p w14:paraId="13A1FAC1">
            <w:pPr>
              <w:widowControl/>
              <w:spacing w:line="360" w:lineRule="auto"/>
              <w:jc w:val="center"/>
              <w:rPr>
                <w:rFonts w:hint="eastAsia" w:ascii="仿宋" w:hAnsi="仿宋" w:eastAsia="仿宋"/>
                <w:bCs/>
                <w:sz w:val="24"/>
              </w:rPr>
            </w:pPr>
            <w:r>
              <w:rPr>
                <w:rFonts w:hint="eastAsia" w:ascii="仿宋" w:hAnsi="仿宋" w:eastAsia="仿宋"/>
                <w:bCs/>
                <w:sz w:val="24"/>
              </w:rPr>
              <w:t>混合</w:t>
            </w:r>
          </w:p>
        </w:tc>
        <w:tc>
          <w:tcPr>
            <w:tcW w:w="1321" w:type="dxa"/>
            <w:vAlign w:val="center"/>
          </w:tcPr>
          <w:p w14:paraId="481D6BE5">
            <w:pPr>
              <w:widowControl/>
              <w:spacing w:line="360" w:lineRule="auto"/>
              <w:jc w:val="center"/>
              <w:rPr>
                <w:rFonts w:hint="eastAsia" w:ascii="仿宋" w:hAnsi="仿宋" w:eastAsia="仿宋"/>
                <w:bCs/>
                <w:sz w:val="24"/>
              </w:rPr>
            </w:pPr>
            <w:r>
              <w:rPr>
                <w:rFonts w:hint="eastAsia" w:ascii="仿宋" w:hAnsi="仿宋" w:eastAsia="仿宋"/>
                <w:bCs/>
                <w:sz w:val="24"/>
              </w:rPr>
              <w:t>微专业二</w:t>
            </w:r>
          </w:p>
        </w:tc>
      </w:tr>
      <w:tr w14:paraId="59A25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14:paraId="2790C7BE">
            <w:pPr>
              <w:widowControl/>
              <w:spacing w:line="360" w:lineRule="auto"/>
              <w:jc w:val="center"/>
              <w:rPr>
                <w:rFonts w:hint="eastAsia" w:ascii="仿宋" w:hAnsi="仿宋" w:eastAsia="仿宋"/>
                <w:bCs/>
                <w:sz w:val="24"/>
              </w:rPr>
            </w:pPr>
            <w:r>
              <w:rPr>
                <w:rFonts w:hint="eastAsia" w:ascii="仿宋" w:hAnsi="仿宋" w:eastAsia="仿宋"/>
                <w:bCs/>
                <w:sz w:val="24"/>
              </w:rPr>
              <w:t>5</w:t>
            </w:r>
          </w:p>
        </w:tc>
        <w:tc>
          <w:tcPr>
            <w:tcW w:w="2547" w:type="dxa"/>
            <w:gridSpan w:val="2"/>
            <w:vAlign w:val="center"/>
          </w:tcPr>
          <w:p w14:paraId="784B9C23">
            <w:pPr>
              <w:widowControl/>
              <w:spacing w:line="360" w:lineRule="auto"/>
              <w:jc w:val="center"/>
              <w:rPr>
                <w:rFonts w:hint="eastAsia" w:ascii="仿宋" w:hAnsi="仿宋" w:eastAsia="仿宋"/>
                <w:bCs/>
                <w:sz w:val="24"/>
              </w:rPr>
            </w:pPr>
            <w:r>
              <w:rPr>
                <w:rFonts w:hint="eastAsia" w:ascii="仿宋" w:hAnsi="仿宋" w:eastAsia="仿宋" w:cs="Arial"/>
                <w:color w:val="000000"/>
                <w:sz w:val="24"/>
              </w:rPr>
              <w:t>PLC在半导体装备中的应用</w:t>
            </w:r>
          </w:p>
        </w:tc>
        <w:tc>
          <w:tcPr>
            <w:tcW w:w="992" w:type="dxa"/>
            <w:vAlign w:val="center"/>
          </w:tcPr>
          <w:p w14:paraId="07B1DBEF">
            <w:pPr>
              <w:widowControl/>
              <w:spacing w:line="360" w:lineRule="auto"/>
              <w:jc w:val="center"/>
              <w:rPr>
                <w:rFonts w:hint="eastAsia" w:ascii="仿宋" w:hAnsi="仿宋" w:eastAsia="仿宋"/>
                <w:bCs/>
                <w:sz w:val="24"/>
              </w:rPr>
            </w:pPr>
            <w:r>
              <w:rPr>
                <w:rFonts w:hint="eastAsia" w:ascii="仿宋" w:hAnsi="仿宋" w:eastAsia="仿宋"/>
                <w:bCs/>
                <w:sz w:val="24"/>
              </w:rPr>
              <w:t>2</w:t>
            </w:r>
          </w:p>
        </w:tc>
        <w:tc>
          <w:tcPr>
            <w:tcW w:w="992" w:type="dxa"/>
            <w:vAlign w:val="center"/>
          </w:tcPr>
          <w:p w14:paraId="4D4F24FC">
            <w:pPr>
              <w:widowControl/>
              <w:spacing w:line="360" w:lineRule="auto"/>
              <w:jc w:val="center"/>
              <w:rPr>
                <w:rFonts w:hint="eastAsia" w:ascii="仿宋" w:hAnsi="仿宋" w:eastAsia="仿宋"/>
                <w:bCs/>
                <w:sz w:val="24"/>
              </w:rPr>
            </w:pPr>
            <w:r>
              <w:rPr>
                <w:rFonts w:hint="eastAsia" w:ascii="仿宋" w:hAnsi="仿宋" w:eastAsia="仿宋"/>
                <w:bCs/>
                <w:sz w:val="24"/>
              </w:rPr>
              <w:t>32</w:t>
            </w:r>
          </w:p>
        </w:tc>
        <w:tc>
          <w:tcPr>
            <w:tcW w:w="851" w:type="dxa"/>
            <w:vAlign w:val="center"/>
          </w:tcPr>
          <w:p w14:paraId="704AA41F">
            <w:pPr>
              <w:widowControl/>
              <w:spacing w:line="360" w:lineRule="auto"/>
              <w:jc w:val="center"/>
              <w:rPr>
                <w:rFonts w:hint="eastAsia" w:ascii="仿宋" w:hAnsi="仿宋" w:eastAsia="仿宋"/>
                <w:bCs/>
                <w:sz w:val="24"/>
              </w:rPr>
            </w:pPr>
            <w:r>
              <w:rPr>
                <w:rFonts w:hint="eastAsia" w:ascii="仿宋" w:hAnsi="仿宋" w:eastAsia="仿宋"/>
                <w:bCs/>
                <w:sz w:val="24"/>
              </w:rPr>
              <w:t>16</w:t>
            </w:r>
          </w:p>
        </w:tc>
        <w:tc>
          <w:tcPr>
            <w:tcW w:w="992" w:type="dxa"/>
            <w:vAlign w:val="center"/>
          </w:tcPr>
          <w:p w14:paraId="7A872B86">
            <w:pPr>
              <w:widowControl/>
              <w:spacing w:line="360" w:lineRule="auto"/>
              <w:jc w:val="center"/>
              <w:rPr>
                <w:rFonts w:hint="eastAsia" w:ascii="仿宋" w:hAnsi="仿宋" w:eastAsia="仿宋"/>
                <w:bCs/>
                <w:sz w:val="24"/>
              </w:rPr>
            </w:pPr>
            <w:r>
              <w:rPr>
                <w:rFonts w:hint="eastAsia" w:ascii="仿宋" w:hAnsi="仿宋" w:eastAsia="仿宋"/>
                <w:bCs/>
                <w:sz w:val="24"/>
              </w:rPr>
              <w:t>16</w:t>
            </w:r>
          </w:p>
        </w:tc>
        <w:tc>
          <w:tcPr>
            <w:tcW w:w="1514" w:type="dxa"/>
            <w:vAlign w:val="center"/>
          </w:tcPr>
          <w:p w14:paraId="2E9DB409">
            <w:pPr>
              <w:widowControl/>
              <w:spacing w:line="360" w:lineRule="auto"/>
              <w:jc w:val="center"/>
              <w:rPr>
                <w:rFonts w:hint="eastAsia" w:ascii="仿宋" w:hAnsi="仿宋" w:eastAsia="仿宋"/>
                <w:bCs/>
                <w:sz w:val="24"/>
              </w:rPr>
            </w:pPr>
            <w:r>
              <w:rPr>
                <w:rFonts w:hint="eastAsia" w:ascii="仿宋" w:hAnsi="仿宋" w:eastAsia="仿宋"/>
                <w:bCs/>
                <w:sz w:val="24"/>
              </w:rPr>
              <w:t>混合</w:t>
            </w:r>
          </w:p>
        </w:tc>
        <w:tc>
          <w:tcPr>
            <w:tcW w:w="1321" w:type="dxa"/>
            <w:vAlign w:val="center"/>
          </w:tcPr>
          <w:p w14:paraId="73107696">
            <w:pPr>
              <w:widowControl/>
              <w:spacing w:line="360" w:lineRule="auto"/>
              <w:jc w:val="center"/>
              <w:rPr>
                <w:rFonts w:hint="eastAsia" w:ascii="仿宋" w:hAnsi="仿宋" w:eastAsia="仿宋"/>
                <w:bCs/>
                <w:sz w:val="24"/>
              </w:rPr>
            </w:pPr>
            <w:r>
              <w:rPr>
                <w:rFonts w:hint="eastAsia" w:ascii="仿宋" w:hAnsi="仿宋" w:eastAsia="仿宋"/>
                <w:bCs/>
                <w:sz w:val="24"/>
              </w:rPr>
              <w:t>微专业二</w:t>
            </w:r>
          </w:p>
        </w:tc>
      </w:tr>
      <w:tr w14:paraId="1573F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tcBorders>
              <w:bottom w:val="single" w:color="auto" w:sz="4" w:space="0"/>
            </w:tcBorders>
            <w:vAlign w:val="center"/>
          </w:tcPr>
          <w:p w14:paraId="43EF594F">
            <w:pPr>
              <w:widowControl/>
              <w:spacing w:line="360" w:lineRule="auto"/>
              <w:jc w:val="center"/>
              <w:rPr>
                <w:rFonts w:hint="eastAsia" w:ascii="仿宋" w:hAnsi="仿宋" w:eastAsia="仿宋"/>
                <w:bCs/>
                <w:sz w:val="24"/>
              </w:rPr>
            </w:pPr>
          </w:p>
        </w:tc>
        <w:tc>
          <w:tcPr>
            <w:tcW w:w="2547" w:type="dxa"/>
            <w:gridSpan w:val="2"/>
            <w:tcBorders>
              <w:bottom w:val="single" w:color="auto" w:sz="4" w:space="0"/>
            </w:tcBorders>
            <w:vAlign w:val="center"/>
          </w:tcPr>
          <w:p w14:paraId="50421725">
            <w:pPr>
              <w:widowControl/>
              <w:spacing w:line="360" w:lineRule="auto"/>
              <w:jc w:val="center"/>
              <w:rPr>
                <w:rFonts w:hint="eastAsia" w:ascii="仿宋" w:hAnsi="仿宋" w:eastAsia="仿宋"/>
                <w:bCs/>
                <w:sz w:val="24"/>
              </w:rPr>
            </w:pPr>
            <w:r>
              <w:rPr>
                <w:rFonts w:hint="eastAsia" w:ascii="仿宋" w:hAnsi="仿宋" w:eastAsia="仿宋"/>
                <w:bCs/>
                <w:sz w:val="24"/>
              </w:rPr>
              <w:t>合计</w:t>
            </w:r>
          </w:p>
        </w:tc>
        <w:tc>
          <w:tcPr>
            <w:tcW w:w="992" w:type="dxa"/>
            <w:tcBorders>
              <w:bottom w:val="single" w:color="auto" w:sz="4" w:space="0"/>
            </w:tcBorders>
            <w:vAlign w:val="center"/>
          </w:tcPr>
          <w:p w14:paraId="127ED26B">
            <w:pPr>
              <w:widowControl/>
              <w:spacing w:line="360" w:lineRule="auto"/>
              <w:jc w:val="center"/>
              <w:rPr>
                <w:rFonts w:hint="eastAsia" w:ascii="仿宋" w:hAnsi="仿宋" w:eastAsia="仿宋"/>
                <w:bCs/>
                <w:sz w:val="24"/>
              </w:rPr>
            </w:pPr>
            <w:r>
              <w:rPr>
                <w:rFonts w:hint="eastAsia" w:ascii="仿宋" w:hAnsi="仿宋" w:eastAsia="仿宋"/>
                <w:bCs/>
                <w:sz w:val="24"/>
              </w:rPr>
              <w:t>10</w:t>
            </w:r>
          </w:p>
        </w:tc>
        <w:tc>
          <w:tcPr>
            <w:tcW w:w="992" w:type="dxa"/>
            <w:tcBorders>
              <w:bottom w:val="single" w:color="auto" w:sz="4" w:space="0"/>
            </w:tcBorders>
            <w:vAlign w:val="center"/>
          </w:tcPr>
          <w:p w14:paraId="265AFC88">
            <w:pPr>
              <w:widowControl/>
              <w:spacing w:line="360" w:lineRule="auto"/>
              <w:jc w:val="center"/>
              <w:rPr>
                <w:rFonts w:hint="eastAsia" w:ascii="仿宋" w:hAnsi="仿宋" w:eastAsia="仿宋"/>
                <w:bCs/>
                <w:sz w:val="24"/>
              </w:rPr>
            </w:pPr>
            <w:r>
              <w:rPr>
                <w:rFonts w:hint="eastAsia" w:ascii="仿宋" w:hAnsi="仿宋" w:eastAsia="仿宋"/>
                <w:bCs/>
                <w:sz w:val="24"/>
              </w:rPr>
              <w:t>160</w:t>
            </w:r>
          </w:p>
        </w:tc>
        <w:tc>
          <w:tcPr>
            <w:tcW w:w="851" w:type="dxa"/>
            <w:tcBorders>
              <w:bottom w:val="single" w:color="auto" w:sz="4" w:space="0"/>
            </w:tcBorders>
            <w:vAlign w:val="center"/>
          </w:tcPr>
          <w:p w14:paraId="0B96C6F3">
            <w:pPr>
              <w:widowControl/>
              <w:spacing w:line="360" w:lineRule="auto"/>
              <w:jc w:val="center"/>
              <w:rPr>
                <w:rFonts w:hint="eastAsia" w:ascii="仿宋" w:hAnsi="仿宋" w:eastAsia="仿宋"/>
                <w:bCs/>
                <w:sz w:val="24"/>
              </w:rPr>
            </w:pPr>
            <w:r>
              <w:rPr>
                <w:rFonts w:hint="eastAsia" w:ascii="仿宋" w:hAnsi="仿宋" w:eastAsia="仿宋"/>
                <w:bCs/>
                <w:sz w:val="24"/>
              </w:rPr>
              <w:t>120</w:t>
            </w:r>
          </w:p>
        </w:tc>
        <w:tc>
          <w:tcPr>
            <w:tcW w:w="992" w:type="dxa"/>
            <w:tcBorders>
              <w:bottom w:val="single" w:color="auto" w:sz="4" w:space="0"/>
            </w:tcBorders>
            <w:vAlign w:val="center"/>
          </w:tcPr>
          <w:p w14:paraId="325B0E14">
            <w:pPr>
              <w:widowControl/>
              <w:spacing w:line="360" w:lineRule="auto"/>
              <w:jc w:val="center"/>
              <w:rPr>
                <w:rFonts w:hint="eastAsia" w:ascii="仿宋" w:hAnsi="仿宋" w:eastAsia="仿宋"/>
                <w:bCs/>
                <w:sz w:val="24"/>
              </w:rPr>
            </w:pPr>
            <w:r>
              <w:rPr>
                <w:rFonts w:hint="eastAsia" w:ascii="仿宋" w:hAnsi="仿宋" w:eastAsia="仿宋"/>
                <w:bCs/>
                <w:sz w:val="24"/>
              </w:rPr>
              <w:t>40</w:t>
            </w:r>
          </w:p>
        </w:tc>
        <w:tc>
          <w:tcPr>
            <w:tcW w:w="1514" w:type="dxa"/>
            <w:tcBorders>
              <w:bottom w:val="single" w:color="auto" w:sz="4" w:space="0"/>
            </w:tcBorders>
            <w:vAlign w:val="center"/>
          </w:tcPr>
          <w:p w14:paraId="6A37D8C6">
            <w:pPr>
              <w:widowControl/>
              <w:spacing w:line="360" w:lineRule="auto"/>
              <w:jc w:val="center"/>
              <w:rPr>
                <w:rFonts w:hint="eastAsia" w:ascii="仿宋" w:hAnsi="仿宋" w:eastAsia="仿宋"/>
                <w:bCs/>
                <w:sz w:val="24"/>
              </w:rPr>
            </w:pPr>
          </w:p>
        </w:tc>
        <w:tc>
          <w:tcPr>
            <w:tcW w:w="1321" w:type="dxa"/>
            <w:tcBorders>
              <w:bottom w:val="single" w:color="auto" w:sz="4" w:space="0"/>
            </w:tcBorders>
            <w:vAlign w:val="center"/>
          </w:tcPr>
          <w:p w14:paraId="7B841704">
            <w:pPr>
              <w:widowControl/>
              <w:spacing w:line="360" w:lineRule="auto"/>
              <w:jc w:val="center"/>
              <w:rPr>
                <w:rFonts w:hint="eastAsia" w:ascii="仿宋" w:hAnsi="仿宋" w:eastAsia="仿宋"/>
                <w:bCs/>
                <w:sz w:val="24"/>
                <w:highlight w:val="yellow"/>
              </w:rPr>
            </w:pPr>
          </w:p>
        </w:tc>
      </w:tr>
      <w:tr w14:paraId="5A31A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6" w:type="dxa"/>
            <w:gridSpan w:val="2"/>
            <w:vMerge w:val="restart"/>
            <w:tcBorders>
              <w:top w:val="single" w:color="auto" w:sz="4" w:space="0"/>
            </w:tcBorders>
            <w:vAlign w:val="center"/>
          </w:tcPr>
          <w:p w14:paraId="1C7DA2C8">
            <w:pPr>
              <w:widowControl/>
              <w:spacing w:line="360" w:lineRule="auto"/>
              <w:rPr>
                <w:rFonts w:hint="eastAsia" w:ascii="仿宋" w:hAnsi="仿宋" w:eastAsia="仿宋"/>
                <w:b/>
                <w:spacing w:val="20"/>
                <w:sz w:val="24"/>
              </w:rPr>
            </w:pPr>
            <w:bookmarkStart w:id="0" w:name="_GoBack" w:colFirst="0" w:colLast="1"/>
            <w:r>
              <w:rPr>
                <w:rFonts w:hint="eastAsia" w:ascii="仿宋" w:hAnsi="仿宋" w:eastAsia="仿宋"/>
                <w:b/>
                <w:spacing w:val="20"/>
                <w:sz w:val="24"/>
              </w:rPr>
              <w:t>课程</w:t>
            </w:r>
          </w:p>
          <w:p w14:paraId="1ADA8CA7">
            <w:pPr>
              <w:widowControl/>
              <w:spacing w:line="360" w:lineRule="auto"/>
              <w:rPr>
                <w:rFonts w:hint="eastAsia" w:ascii="仿宋" w:hAnsi="仿宋" w:eastAsia="仿宋"/>
                <w:b/>
                <w:spacing w:val="20"/>
                <w:sz w:val="24"/>
              </w:rPr>
            </w:pPr>
            <w:r>
              <w:rPr>
                <w:rFonts w:hint="eastAsia" w:ascii="仿宋" w:hAnsi="仿宋" w:eastAsia="仿宋"/>
                <w:b/>
                <w:spacing w:val="20"/>
                <w:sz w:val="24"/>
              </w:rPr>
              <w:t>简介</w:t>
            </w:r>
          </w:p>
        </w:tc>
        <w:tc>
          <w:tcPr>
            <w:tcW w:w="8080" w:type="dxa"/>
            <w:gridSpan w:val="7"/>
            <w:tcBorders>
              <w:top w:val="single" w:color="auto" w:sz="4" w:space="0"/>
            </w:tcBorders>
          </w:tcPr>
          <w:p w14:paraId="06628458">
            <w:pPr>
              <w:widowControl/>
              <w:spacing w:line="360" w:lineRule="auto"/>
              <w:rPr>
                <w:rFonts w:hint="eastAsia" w:ascii="仿宋" w:hAnsi="仿宋" w:eastAsia="仿宋"/>
                <w:b/>
                <w:sz w:val="24"/>
              </w:rPr>
            </w:pPr>
            <w:r>
              <w:rPr>
                <w:rFonts w:hint="eastAsia" w:ascii="仿宋" w:hAnsi="仿宋" w:eastAsia="仿宋"/>
                <w:b/>
                <w:sz w:val="24"/>
              </w:rPr>
              <w:t>课程1：集成电路装备概论</w:t>
            </w:r>
          </w:p>
          <w:p w14:paraId="77BAF40E">
            <w:pPr>
              <w:widowControl/>
              <w:spacing w:line="360" w:lineRule="auto"/>
              <w:rPr>
                <w:rFonts w:hint="eastAsia" w:ascii="仿宋" w:hAnsi="仿宋" w:eastAsia="仿宋"/>
                <w:b/>
                <w:sz w:val="24"/>
              </w:rPr>
            </w:pPr>
            <w:r>
              <w:rPr>
                <w:rFonts w:hint="eastAsia" w:ascii="仿宋" w:hAnsi="仿宋" w:eastAsia="仿宋"/>
                <w:bCs/>
                <w:sz w:val="24"/>
              </w:rPr>
              <w:t>集成电路制造流程与装备体系认知、装备子系统构成与工作原理、装备性能指标与运行规范</w:t>
            </w:r>
            <w:r>
              <w:rPr>
                <w:rFonts w:ascii="仿宋" w:hAnsi="仿宋" w:eastAsia="仿宋"/>
                <w:bCs/>
                <w:sz w:val="24"/>
              </w:rPr>
              <w:t>。</w:t>
            </w:r>
          </w:p>
        </w:tc>
      </w:tr>
      <w:bookmarkEnd w:id="0"/>
      <w:tr w14:paraId="05E1C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6" w:type="dxa"/>
            <w:gridSpan w:val="2"/>
            <w:vMerge w:val="continue"/>
            <w:tcBorders/>
            <w:vAlign w:val="center"/>
          </w:tcPr>
          <w:p w14:paraId="3E9CAFA2">
            <w:pPr>
              <w:widowControl/>
              <w:spacing w:line="360" w:lineRule="auto"/>
              <w:rPr>
                <w:rFonts w:hint="eastAsia" w:ascii="仿宋" w:hAnsi="仿宋" w:eastAsia="仿宋"/>
                <w:bCs/>
                <w:sz w:val="24"/>
              </w:rPr>
            </w:pPr>
          </w:p>
        </w:tc>
        <w:tc>
          <w:tcPr>
            <w:tcW w:w="8080" w:type="dxa"/>
            <w:gridSpan w:val="7"/>
          </w:tcPr>
          <w:p w14:paraId="0F01A8AF">
            <w:pPr>
              <w:widowControl/>
              <w:spacing w:line="360" w:lineRule="auto"/>
              <w:rPr>
                <w:rFonts w:hint="eastAsia" w:ascii="仿宋" w:hAnsi="仿宋" w:eastAsia="仿宋"/>
                <w:b/>
                <w:sz w:val="24"/>
              </w:rPr>
            </w:pPr>
            <w:r>
              <w:rPr>
                <w:rFonts w:hint="eastAsia" w:ascii="仿宋" w:hAnsi="仿宋" w:eastAsia="仿宋"/>
                <w:b/>
                <w:sz w:val="24"/>
              </w:rPr>
              <w:t>课程2：</w:t>
            </w:r>
            <w:r>
              <w:rPr>
                <w:rFonts w:ascii="仿宋" w:hAnsi="仿宋" w:eastAsia="仿宋" w:cs="Arial"/>
                <w:b/>
                <w:bCs/>
                <w:color w:val="000000"/>
                <w:sz w:val="24"/>
              </w:rPr>
              <w:t>工程光学</w:t>
            </w:r>
          </w:p>
          <w:p w14:paraId="622378E4">
            <w:pPr>
              <w:widowControl/>
              <w:spacing w:line="360" w:lineRule="auto"/>
              <w:rPr>
                <w:rFonts w:hint="eastAsia" w:ascii="仿宋" w:hAnsi="仿宋" w:eastAsia="仿宋"/>
                <w:bCs/>
                <w:sz w:val="24"/>
              </w:rPr>
            </w:pPr>
            <w:r>
              <w:rPr>
                <w:rFonts w:hint="eastAsia" w:ascii="仿宋" w:hAnsi="仿宋" w:eastAsia="仿宋"/>
                <w:bCs/>
                <w:sz w:val="24"/>
              </w:rPr>
              <w:t>物理光学、几何光学、精密光学检测与公差基础、光电控制基础</w:t>
            </w:r>
          </w:p>
        </w:tc>
      </w:tr>
      <w:tr w14:paraId="1AA2A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6" w:type="dxa"/>
            <w:gridSpan w:val="2"/>
            <w:vMerge w:val="continue"/>
            <w:tcBorders/>
            <w:vAlign w:val="center"/>
          </w:tcPr>
          <w:p w14:paraId="40AABF96">
            <w:pPr>
              <w:widowControl/>
              <w:spacing w:line="360" w:lineRule="auto"/>
              <w:rPr>
                <w:rFonts w:hint="eastAsia" w:ascii="仿宋" w:hAnsi="仿宋" w:eastAsia="仿宋"/>
                <w:bCs/>
                <w:sz w:val="24"/>
              </w:rPr>
            </w:pPr>
          </w:p>
        </w:tc>
        <w:tc>
          <w:tcPr>
            <w:tcW w:w="8080" w:type="dxa"/>
            <w:gridSpan w:val="7"/>
          </w:tcPr>
          <w:p w14:paraId="68E35E85">
            <w:pPr>
              <w:widowControl/>
              <w:spacing w:line="360" w:lineRule="auto"/>
              <w:rPr>
                <w:rFonts w:hint="eastAsia" w:ascii="仿宋" w:hAnsi="仿宋" w:eastAsia="仿宋"/>
                <w:b/>
                <w:sz w:val="24"/>
              </w:rPr>
            </w:pPr>
            <w:r>
              <w:rPr>
                <w:rFonts w:hint="eastAsia" w:ascii="仿宋" w:hAnsi="仿宋" w:eastAsia="仿宋"/>
                <w:b/>
                <w:sz w:val="24"/>
              </w:rPr>
              <w:t>课程3：</w:t>
            </w:r>
            <w:r>
              <w:rPr>
                <w:rFonts w:hint="eastAsia" w:ascii="仿宋" w:hAnsi="仿宋" w:eastAsia="仿宋" w:cs="Arial"/>
                <w:b/>
                <w:bCs/>
                <w:color w:val="000000"/>
                <w:sz w:val="24"/>
              </w:rPr>
              <w:t>机电系统调试基础</w:t>
            </w:r>
          </w:p>
          <w:p w14:paraId="0D4E9479">
            <w:pPr>
              <w:widowControl/>
              <w:spacing w:line="360" w:lineRule="auto"/>
              <w:rPr>
                <w:rFonts w:hint="eastAsia" w:ascii="仿宋" w:hAnsi="仿宋" w:eastAsia="仿宋"/>
                <w:bCs/>
                <w:sz w:val="24"/>
              </w:rPr>
            </w:pPr>
            <w:r>
              <w:rPr>
                <w:rFonts w:hint="eastAsia" w:ascii="仿宋" w:hAnsi="仿宋" w:eastAsia="仿宋"/>
                <w:bCs/>
                <w:sz w:val="24"/>
              </w:rPr>
              <w:t>机电系统的机械架构、机电系统的部件组成、机电系统的工作原理、机电系统的电机与传感器环路、机电系统的轴伺服控制</w:t>
            </w:r>
          </w:p>
        </w:tc>
      </w:tr>
      <w:tr w14:paraId="76C10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6" w:type="dxa"/>
            <w:gridSpan w:val="2"/>
            <w:vMerge w:val="continue"/>
            <w:tcBorders/>
            <w:vAlign w:val="center"/>
          </w:tcPr>
          <w:p w14:paraId="6DA8292E">
            <w:pPr>
              <w:widowControl/>
              <w:spacing w:line="360" w:lineRule="auto"/>
              <w:rPr>
                <w:rFonts w:hint="eastAsia" w:ascii="仿宋" w:hAnsi="仿宋" w:eastAsia="仿宋"/>
                <w:bCs/>
                <w:sz w:val="24"/>
              </w:rPr>
            </w:pPr>
          </w:p>
        </w:tc>
        <w:tc>
          <w:tcPr>
            <w:tcW w:w="8080" w:type="dxa"/>
            <w:gridSpan w:val="7"/>
          </w:tcPr>
          <w:p w14:paraId="11F20C81">
            <w:pPr>
              <w:widowControl/>
              <w:spacing w:line="360" w:lineRule="auto"/>
              <w:rPr>
                <w:rFonts w:hint="eastAsia" w:ascii="仿宋" w:hAnsi="仿宋" w:eastAsia="仿宋"/>
                <w:b/>
                <w:sz w:val="24"/>
              </w:rPr>
            </w:pPr>
            <w:r>
              <w:rPr>
                <w:rFonts w:hint="eastAsia" w:ascii="仿宋" w:hAnsi="仿宋" w:eastAsia="仿宋"/>
                <w:b/>
                <w:sz w:val="24"/>
              </w:rPr>
              <w:t>课程4：</w:t>
            </w:r>
            <w:r>
              <w:rPr>
                <w:rFonts w:hint="eastAsia" w:ascii="仿宋" w:hAnsi="仿宋" w:eastAsia="仿宋" w:cs="Arial"/>
                <w:b/>
                <w:bCs/>
                <w:color w:val="000000"/>
                <w:sz w:val="24"/>
              </w:rPr>
              <w:t>光学系统调试基础</w:t>
            </w:r>
          </w:p>
          <w:p w14:paraId="390B04B9">
            <w:pPr>
              <w:widowControl/>
              <w:spacing w:line="360" w:lineRule="auto"/>
              <w:rPr>
                <w:rFonts w:hint="eastAsia" w:ascii="仿宋" w:hAnsi="仿宋" w:eastAsia="仿宋"/>
                <w:bCs/>
                <w:sz w:val="24"/>
              </w:rPr>
            </w:pPr>
            <w:r>
              <w:rPr>
                <w:rFonts w:hint="eastAsia" w:ascii="仿宋" w:hAnsi="仿宋" w:eastAsia="仿宋"/>
                <w:bCs/>
                <w:sz w:val="24"/>
              </w:rPr>
              <w:t>半导体装备光学系统认知、光学对准与调平技术、光学性能检测与评估、光学系统装调与校准</w:t>
            </w:r>
          </w:p>
        </w:tc>
      </w:tr>
      <w:tr w14:paraId="484B6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6" w:type="dxa"/>
            <w:gridSpan w:val="2"/>
            <w:vMerge w:val="continue"/>
            <w:tcBorders/>
            <w:vAlign w:val="center"/>
          </w:tcPr>
          <w:p w14:paraId="678E39A4">
            <w:pPr>
              <w:widowControl/>
              <w:spacing w:line="360" w:lineRule="auto"/>
              <w:rPr>
                <w:rFonts w:hint="eastAsia" w:ascii="仿宋" w:hAnsi="仿宋" w:eastAsia="仿宋"/>
                <w:bCs/>
                <w:sz w:val="24"/>
              </w:rPr>
            </w:pPr>
          </w:p>
        </w:tc>
        <w:tc>
          <w:tcPr>
            <w:tcW w:w="8080" w:type="dxa"/>
            <w:gridSpan w:val="7"/>
          </w:tcPr>
          <w:p w14:paraId="16AF05AD">
            <w:pPr>
              <w:widowControl/>
              <w:spacing w:line="360" w:lineRule="auto"/>
              <w:rPr>
                <w:rFonts w:hint="eastAsia" w:ascii="仿宋" w:hAnsi="仿宋" w:eastAsia="仿宋"/>
                <w:b/>
                <w:sz w:val="24"/>
              </w:rPr>
            </w:pPr>
            <w:r>
              <w:rPr>
                <w:rFonts w:hint="eastAsia" w:ascii="仿宋" w:hAnsi="仿宋" w:eastAsia="仿宋"/>
                <w:b/>
                <w:sz w:val="24"/>
              </w:rPr>
              <w:t>课程5：</w:t>
            </w:r>
            <w:r>
              <w:rPr>
                <w:rFonts w:hint="eastAsia" w:ascii="仿宋" w:hAnsi="仿宋" w:eastAsia="仿宋" w:cs="Arial"/>
                <w:b/>
                <w:bCs/>
                <w:color w:val="000000"/>
                <w:sz w:val="24"/>
              </w:rPr>
              <w:t>PLC在半导体装备中的应用</w:t>
            </w:r>
          </w:p>
          <w:p w14:paraId="5CD3E6D5">
            <w:pPr>
              <w:widowControl/>
              <w:spacing w:line="360" w:lineRule="auto"/>
              <w:rPr>
                <w:rFonts w:hint="eastAsia" w:ascii="仿宋" w:hAnsi="仿宋" w:eastAsia="仿宋"/>
                <w:bCs/>
                <w:sz w:val="24"/>
              </w:rPr>
            </w:pPr>
            <w:r>
              <w:rPr>
                <w:rFonts w:hint="eastAsia" w:ascii="仿宋" w:hAnsi="仿宋" w:eastAsia="仿宋"/>
                <w:bCs/>
                <w:sz w:val="24"/>
              </w:rPr>
              <w:t>半导体装备控制系统架构与PLC基础、运动控制与精密定位、工艺过程自动化控制</w:t>
            </w:r>
          </w:p>
        </w:tc>
      </w:tr>
    </w:tbl>
    <w:p w14:paraId="1039B530">
      <w:pPr>
        <w:spacing w:line="360" w:lineRule="auto"/>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xMjWwNDIxNjQwMzY0NTBW0lEKTi0uzszPAymwrAUABUk/1CwAAAA="/>
  </w:docVars>
  <w:rsids>
    <w:rsidRoot w:val="00172A27"/>
    <w:rsid w:val="0000504D"/>
    <w:rsid w:val="00090311"/>
    <w:rsid w:val="00097AEC"/>
    <w:rsid w:val="000C4B16"/>
    <w:rsid w:val="000F6E92"/>
    <w:rsid w:val="001752E0"/>
    <w:rsid w:val="001945F7"/>
    <w:rsid w:val="001E5607"/>
    <w:rsid w:val="00214F49"/>
    <w:rsid w:val="00241183"/>
    <w:rsid w:val="00257A51"/>
    <w:rsid w:val="002F5C13"/>
    <w:rsid w:val="00370C19"/>
    <w:rsid w:val="00397E8A"/>
    <w:rsid w:val="003C3F3C"/>
    <w:rsid w:val="003D0114"/>
    <w:rsid w:val="00422264"/>
    <w:rsid w:val="004462E8"/>
    <w:rsid w:val="0047616F"/>
    <w:rsid w:val="004968DD"/>
    <w:rsid w:val="004C21A2"/>
    <w:rsid w:val="004F1764"/>
    <w:rsid w:val="00500C74"/>
    <w:rsid w:val="0054773F"/>
    <w:rsid w:val="005601E4"/>
    <w:rsid w:val="00561FD3"/>
    <w:rsid w:val="00580650"/>
    <w:rsid w:val="00590325"/>
    <w:rsid w:val="005C4DBE"/>
    <w:rsid w:val="005E255B"/>
    <w:rsid w:val="00670724"/>
    <w:rsid w:val="00676C90"/>
    <w:rsid w:val="0078576F"/>
    <w:rsid w:val="007B037E"/>
    <w:rsid w:val="007C6634"/>
    <w:rsid w:val="007D128F"/>
    <w:rsid w:val="00835F59"/>
    <w:rsid w:val="00870CC0"/>
    <w:rsid w:val="00941DC4"/>
    <w:rsid w:val="00952596"/>
    <w:rsid w:val="00963C09"/>
    <w:rsid w:val="009A57E5"/>
    <w:rsid w:val="009D5B84"/>
    <w:rsid w:val="00A337E0"/>
    <w:rsid w:val="00AD4308"/>
    <w:rsid w:val="00AE0B15"/>
    <w:rsid w:val="00AF6603"/>
    <w:rsid w:val="00AF6BB8"/>
    <w:rsid w:val="00B72FC5"/>
    <w:rsid w:val="00B93148"/>
    <w:rsid w:val="00BC224B"/>
    <w:rsid w:val="00BC2DF6"/>
    <w:rsid w:val="00BF0A74"/>
    <w:rsid w:val="00C04D82"/>
    <w:rsid w:val="00C86B5D"/>
    <w:rsid w:val="00C9611F"/>
    <w:rsid w:val="00CD0481"/>
    <w:rsid w:val="00CE7B12"/>
    <w:rsid w:val="00CF3C0A"/>
    <w:rsid w:val="00D54E02"/>
    <w:rsid w:val="00E22CB5"/>
    <w:rsid w:val="00E912B7"/>
    <w:rsid w:val="00EB580F"/>
    <w:rsid w:val="00EE358E"/>
    <w:rsid w:val="00F140A0"/>
    <w:rsid w:val="00F759BB"/>
    <w:rsid w:val="00F76A33"/>
    <w:rsid w:val="00F778F0"/>
    <w:rsid w:val="00F879B5"/>
    <w:rsid w:val="00FC021C"/>
    <w:rsid w:val="052544EF"/>
    <w:rsid w:val="076C2B44"/>
    <w:rsid w:val="15CC1BB7"/>
    <w:rsid w:val="1A7F1D29"/>
    <w:rsid w:val="32013E77"/>
    <w:rsid w:val="36A631A5"/>
    <w:rsid w:val="4C3261BC"/>
    <w:rsid w:val="6AAE19DE"/>
    <w:rsid w:val="6B6D5837"/>
    <w:rsid w:val="704339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21"/>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2"/>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3"/>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4"/>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5"/>
    <w:semiHidden/>
    <w:unhideWhenUsed/>
    <w:qFormat/>
    <w:uiPriority w:val="9"/>
    <w:pPr>
      <w:keepNext/>
      <w:keepLines/>
      <w:spacing w:before="80" w:after="40"/>
      <w:outlineLvl w:val="4"/>
    </w:pPr>
    <w:rPr>
      <w:rFonts w:cstheme="majorBidi"/>
      <w:color w:val="104862" w:themeColor="accent1" w:themeShade="BF"/>
      <w:sz w:val="24"/>
    </w:rPr>
  </w:style>
  <w:style w:type="paragraph" w:styleId="7">
    <w:name w:val="heading 6"/>
    <w:basedOn w:val="1"/>
    <w:next w:val="1"/>
    <w:link w:val="26"/>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27"/>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8"/>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9"/>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8">
    <w:name w:val="Default Paragraph Font"/>
    <w:semiHidden/>
    <w:unhideWhenUsed/>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link w:val="41"/>
    <w:unhideWhenUsed/>
    <w:qFormat/>
    <w:uiPriority w:val="99"/>
    <w:pPr>
      <w:jc w:val="left"/>
    </w:pPr>
  </w:style>
  <w:style w:type="paragraph" w:styleId="12">
    <w:name w:val="footer"/>
    <w:basedOn w:val="1"/>
    <w:link w:val="40"/>
    <w:unhideWhenUsed/>
    <w:qFormat/>
    <w:uiPriority w:val="99"/>
    <w:pPr>
      <w:tabs>
        <w:tab w:val="center" w:pos="4153"/>
        <w:tab w:val="right" w:pos="8306"/>
      </w:tabs>
      <w:snapToGrid w:val="0"/>
    </w:pPr>
    <w:rPr>
      <w:sz w:val="18"/>
      <w:szCs w:val="18"/>
    </w:rPr>
  </w:style>
  <w:style w:type="paragraph" w:styleId="13">
    <w:name w:val="header"/>
    <w:basedOn w:val="1"/>
    <w:link w:val="39"/>
    <w:unhideWhenUsed/>
    <w:qFormat/>
    <w:uiPriority w:val="99"/>
    <w:pPr>
      <w:tabs>
        <w:tab w:val="center" w:pos="4153"/>
        <w:tab w:val="right" w:pos="8306"/>
      </w:tabs>
      <w:snapToGrid w:val="0"/>
      <w:jc w:val="center"/>
    </w:pPr>
    <w:rPr>
      <w:sz w:val="18"/>
      <w:szCs w:val="18"/>
    </w:rPr>
  </w:style>
  <w:style w:type="paragraph" w:styleId="14">
    <w:name w:val="Subtitle"/>
    <w:basedOn w:val="1"/>
    <w:next w:val="1"/>
    <w:link w:val="31"/>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Title"/>
    <w:basedOn w:val="1"/>
    <w:next w:val="1"/>
    <w:link w:val="30"/>
    <w:qFormat/>
    <w:uiPriority w:val="10"/>
    <w:pPr>
      <w:spacing w:after="80"/>
      <w:contextualSpacing/>
      <w:jc w:val="center"/>
    </w:pPr>
    <w:rPr>
      <w:rFonts w:asciiTheme="majorHAnsi" w:hAnsiTheme="majorHAnsi" w:eastAsiaTheme="majorEastAsia" w:cstheme="majorBidi"/>
      <w:spacing w:val="-10"/>
      <w:kern w:val="28"/>
      <w:sz w:val="56"/>
      <w:szCs w:val="56"/>
    </w:rPr>
  </w:style>
  <w:style w:type="paragraph" w:styleId="16">
    <w:name w:val="annotation subject"/>
    <w:basedOn w:val="11"/>
    <w:next w:val="11"/>
    <w:link w:val="42"/>
    <w:semiHidden/>
    <w:unhideWhenUsed/>
    <w:qFormat/>
    <w:uiPriority w:val="99"/>
    <w:rPr>
      <w:b/>
      <w:bCs/>
    </w:rPr>
  </w:style>
  <w:style w:type="character" w:styleId="19">
    <w:name w:val="Strong"/>
    <w:qFormat/>
    <w:uiPriority w:val="0"/>
    <w:rPr>
      <w:b/>
    </w:rPr>
  </w:style>
  <w:style w:type="character" w:styleId="20">
    <w:name w:val="annotation reference"/>
    <w:basedOn w:val="18"/>
    <w:semiHidden/>
    <w:unhideWhenUsed/>
    <w:qFormat/>
    <w:uiPriority w:val="99"/>
    <w:rPr>
      <w:sz w:val="21"/>
      <w:szCs w:val="21"/>
    </w:rPr>
  </w:style>
  <w:style w:type="character" w:customStyle="1" w:styleId="21">
    <w:name w:val="标题 1 字符"/>
    <w:basedOn w:val="18"/>
    <w:link w:val="2"/>
    <w:qFormat/>
    <w:uiPriority w:val="9"/>
    <w:rPr>
      <w:rFonts w:asciiTheme="majorHAnsi" w:hAnsiTheme="majorHAnsi" w:eastAsiaTheme="majorEastAsia" w:cstheme="majorBidi"/>
      <w:color w:val="104862" w:themeColor="accent1" w:themeShade="BF"/>
      <w:sz w:val="48"/>
      <w:szCs w:val="48"/>
    </w:rPr>
  </w:style>
  <w:style w:type="character" w:customStyle="1" w:styleId="22">
    <w:name w:val="标题 2 字符"/>
    <w:basedOn w:val="18"/>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23">
    <w:name w:val="标题 3 字符"/>
    <w:basedOn w:val="18"/>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4">
    <w:name w:val="标题 4 字符"/>
    <w:basedOn w:val="18"/>
    <w:link w:val="5"/>
    <w:semiHidden/>
    <w:qFormat/>
    <w:uiPriority w:val="9"/>
    <w:rPr>
      <w:rFonts w:cstheme="majorBidi"/>
      <w:color w:val="104862" w:themeColor="accent1" w:themeShade="BF"/>
      <w:sz w:val="28"/>
      <w:szCs w:val="28"/>
    </w:rPr>
  </w:style>
  <w:style w:type="character" w:customStyle="1" w:styleId="25">
    <w:name w:val="标题 5 字符"/>
    <w:basedOn w:val="18"/>
    <w:link w:val="6"/>
    <w:semiHidden/>
    <w:qFormat/>
    <w:uiPriority w:val="9"/>
    <w:rPr>
      <w:rFonts w:cstheme="majorBidi"/>
      <w:color w:val="104862" w:themeColor="accent1" w:themeShade="BF"/>
      <w:sz w:val="24"/>
    </w:rPr>
  </w:style>
  <w:style w:type="character" w:customStyle="1" w:styleId="26">
    <w:name w:val="标题 6 字符"/>
    <w:basedOn w:val="18"/>
    <w:link w:val="7"/>
    <w:semiHidden/>
    <w:qFormat/>
    <w:uiPriority w:val="9"/>
    <w:rPr>
      <w:rFonts w:cstheme="majorBidi"/>
      <w:b/>
      <w:bCs/>
      <w:color w:val="104862" w:themeColor="accent1" w:themeShade="BF"/>
    </w:rPr>
  </w:style>
  <w:style w:type="character" w:customStyle="1" w:styleId="27">
    <w:name w:val="标题 7 字符"/>
    <w:basedOn w:val="18"/>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8">
    <w:name w:val="标题 8 字符"/>
    <w:basedOn w:val="18"/>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9">
    <w:name w:val="标题 9 字符"/>
    <w:basedOn w:val="18"/>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0">
    <w:name w:val="标题 字符"/>
    <w:basedOn w:val="18"/>
    <w:link w:val="15"/>
    <w:qFormat/>
    <w:uiPriority w:val="10"/>
    <w:rPr>
      <w:rFonts w:asciiTheme="majorHAnsi" w:hAnsiTheme="majorHAnsi" w:eastAsiaTheme="majorEastAsia" w:cstheme="majorBidi"/>
      <w:spacing w:val="-10"/>
      <w:kern w:val="28"/>
      <w:sz w:val="56"/>
      <w:szCs w:val="56"/>
    </w:rPr>
  </w:style>
  <w:style w:type="character" w:customStyle="1" w:styleId="31">
    <w:name w:val="副标题 字符"/>
    <w:basedOn w:val="18"/>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2">
    <w:name w:val="Quote"/>
    <w:basedOn w:val="1"/>
    <w:next w:val="1"/>
    <w:link w:val="33"/>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3">
    <w:name w:val="引用 字符"/>
    <w:basedOn w:val="18"/>
    <w:link w:val="32"/>
    <w:qFormat/>
    <w:uiPriority w:val="29"/>
    <w:rPr>
      <w:i/>
      <w:iCs/>
      <w:color w:val="404040" w:themeColor="text1" w:themeTint="BF"/>
      <w14:textFill>
        <w14:solidFill>
          <w14:schemeClr w14:val="tx1">
            <w14:lumMod w14:val="75000"/>
            <w14:lumOff w14:val="25000"/>
          </w14:schemeClr>
        </w14:solidFill>
      </w14:textFill>
    </w:rPr>
  </w:style>
  <w:style w:type="paragraph" w:styleId="34">
    <w:name w:val="List Paragraph"/>
    <w:basedOn w:val="1"/>
    <w:qFormat/>
    <w:uiPriority w:val="34"/>
    <w:pPr>
      <w:ind w:left="720"/>
      <w:contextualSpacing/>
    </w:pPr>
  </w:style>
  <w:style w:type="character" w:customStyle="1" w:styleId="35">
    <w:name w:val="明显强调1"/>
    <w:basedOn w:val="18"/>
    <w:qFormat/>
    <w:uiPriority w:val="21"/>
    <w:rPr>
      <w:i/>
      <w:iCs/>
      <w:color w:val="104862" w:themeColor="accent1" w:themeShade="BF"/>
    </w:rPr>
  </w:style>
  <w:style w:type="paragraph" w:styleId="36">
    <w:name w:val="Intense Quote"/>
    <w:basedOn w:val="1"/>
    <w:next w:val="1"/>
    <w:link w:val="37"/>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7">
    <w:name w:val="明显引用 字符"/>
    <w:basedOn w:val="18"/>
    <w:link w:val="36"/>
    <w:qFormat/>
    <w:uiPriority w:val="30"/>
    <w:rPr>
      <w:i/>
      <w:iCs/>
      <w:color w:val="104862" w:themeColor="accent1" w:themeShade="BF"/>
    </w:rPr>
  </w:style>
  <w:style w:type="character" w:customStyle="1" w:styleId="38">
    <w:name w:val="明显参考1"/>
    <w:basedOn w:val="18"/>
    <w:qFormat/>
    <w:uiPriority w:val="32"/>
    <w:rPr>
      <w:b/>
      <w:bCs/>
      <w:smallCaps/>
      <w:color w:val="104862" w:themeColor="accent1" w:themeShade="BF"/>
      <w:spacing w:val="5"/>
    </w:rPr>
  </w:style>
  <w:style w:type="character" w:customStyle="1" w:styleId="39">
    <w:name w:val="页眉 字符"/>
    <w:basedOn w:val="18"/>
    <w:link w:val="13"/>
    <w:qFormat/>
    <w:uiPriority w:val="99"/>
    <w:rPr>
      <w:sz w:val="18"/>
      <w:szCs w:val="18"/>
    </w:rPr>
  </w:style>
  <w:style w:type="character" w:customStyle="1" w:styleId="40">
    <w:name w:val="页脚 字符"/>
    <w:basedOn w:val="18"/>
    <w:link w:val="12"/>
    <w:qFormat/>
    <w:uiPriority w:val="99"/>
    <w:rPr>
      <w:sz w:val="18"/>
      <w:szCs w:val="18"/>
    </w:rPr>
  </w:style>
  <w:style w:type="character" w:customStyle="1" w:styleId="41">
    <w:name w:val="批注文字 字符"/>
    <w:basedOn w:val="18"/>
    <w:link w:val="11"/>
    <w:qFormat/>
    <w:uiPriority w:val="99"/>
    <w:rPr>
      <w:rFonts w:ascii="Calibri" w:hAnsi="Calibri" w:eastAsia="宋体" w:cs="Times New Roman"/>
      <w:sz w:val="21"/>
      <w14:ligatures w14:val="none"/>
    </w:rPr>
  </w:style>
  <w:style w:type="character" w:customStyle="1" w:styleId="42">
    <w:name w:val="批注主题 字符"/>
    <w:basedOn w:val="41"/>
    <w:link w:val="16"/>
    <w:semiHidden/>
    <w:qFormat/>
    <w:uiPriority w:val="99"/>
    <w:rPr>
      <w:rFonts w:ascii="Calibri" w:hAnsi="Calibri" w:eastAsia="宋体" w:cs="Times New Roman"/>
      <w:b/>
      <w:bCs/>
      <w:sz w:val="21"/>
      <w14:ligatures w14: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Normal.dotm</Template>
  <Pages>5</Pages>
  <Words>2236</Words>
  <Characters>2340</Characters>
  <Lines>91</Lines>
  <Paragraphs>100</Paragraphs>
  <TotalTime>13</TotalTime>
  <ScaleCrop>false</ScaleCrop>
  <LinksUpToDate>false</LinksUpToDate>
  <CharactersWithSpaces>2356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2026-06-05T00:20:00Z</dcterms:created>
  <dc:creator>Yifan Li</dc:creator>
  <cp:lastModifiedBy>头发乱了</cp:lastModifiedBy>
  <dcterms:modified xsi:type="dcterms:W3CDTF">2026-09-09T02:15:09Z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eyJoZGlkIjoiNDAwYmZjNGE1NWEzMmU1ZTQ0NWRjZDk4YzVkMGI3NzQiLCJ1c2VySWQiOiIyODQyNDUzOTkifQ==</vt:lpwstr>
  </property>
  <property fmtid="{D5CDD505-2E9C-101B-9397-08002B2CF9AE}" pid="3" name="KSOProductBuildVer">
    <vt:lpwstr>2052-12.1.0.28505</vt:lpwstr>
  </property>
  <property fmtid="{D5CDD505-2E9C-101B-9397-08002B2CF9AE}" pid="4" name="ICV">
    <vt:lpwstr>F273A27FFD034E79A0690F867E431505_12</vt:lpwstr>
  </property>
</Properties>
</file>