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E1568">
      <w:pPr>
        <w:keepNext w:val="0"/>
        <w:keepLines w:val="0"/>
        <w:pageBreakBefore w:val="0"/>
        <w:widowControl/>
        <w:shd w:val="clear" w:color="auto" w:fill="FFFFFF"/>
        <w:kinsoku/>
        <w:wordWrap/>
        <w:overflowPunct/>
        <w:topLinePunct w:val="0"/>
        <w:autoSpaceDE/>
        <w:autoSpaceDN/>
        <w:bidi w:val="0"/>
        <w:spacing w:line="360" w:lineRule="auto"/>
        <w:ind w:firstLine="643" w:firstLineChars="200"/>
        <w:jc w:val="center"/>
        <w:textAlignment w:val="auto"/>
        <w:rPr>
          <w:rStyle w:val="19"/>
          <w:rFonts w:hint="eastAsia" w:ascii="微软雅黑" w:hAnsi="微软雅黑" w:eastAsia="微软雅黑" w:cs="微软雅黑"/>
          <w:bCs/>
          <w:kern w:val="0"/>
          <w:sz w:val="24"/>
          <w:shd w:val="clear" w:color="auto" w:fill="FFFFFF"/>
          <w:lang w:bidi="ar"/>
        </w:rPr>
      </w:pPr>
      <w:r>
        <w:rPr>
          <w:rStyle w:val="19"/>
          <w:rFonts w:hint="eastAsia" w:ascii="宋体" w:hAnsi="宋体" w:cs="宋体"/>
          <w:bCs/>
          <w:kern w:val="0"/>
          <w:sz w:val="32"/>
          <w:szCs w:val="32"/>
          <w:shd w:val="clear" w:color="auto" w:fill="FFFFFF"/>
          <w:lang w:bidi="ar"/>
        </w:rPr>
        <w:t>2026</w:t>
      </w:r>
      <w:r>
        <w:rPr>
          <w:rStyle w:val="19"/>
          <w:rFonts w:ascii="宋体" w:hAnsi="宋体" w:cs="宋体"/>
          <w:bCs/>
          <w:kern w:val="0"/>
          <w:sz w:val="32"/>
          <w:szCs w:val="32"/>
          <w:shd w:val="clear" w:color="auto" w:fill="FFFFFF"/>
          <w:lang w:bidi="ar"/>
        </w:rPr>
        <w:t>集成电路光机微专业招生简章</w:t>
      </w:r>
    </w:p>
    <w:p w14:paraId="6160FF9E">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Style w:val="19"/>
          <w:rFonts w:hint="eastAsia" w:ascii="微软雅黑" w:hAnsi="微软雅黑" w:eastAsia="微软雅黑" w:cs="微软雅黑"/>
          <w:bCs/>
          <w:color w:val="333333"/>
          <w:kern w:val="0"/>
          <w:sz w:val="28"/>
          <w:szCs w:val="28"/>
          <w:shd w:val="clear" w:color="auto" w:fill="FFFFFF"/>
          <w:lang w:bidi="ar"/>
        </w:rPr>
      </w:pPr>
      <w:r>
        <w:rPr>
          <w:rStyle w:val="19"/>
          <w:rFonts w:hint="eastAsia" w:ascii="微软雅黑" w:hAnsi="微软雅黑" w:eastAsia="微软雅黑" w:cs="微软雅黑"/>
          <w:bCs/>
          <w:color w:val="333333"/>
          <w:kern w:val="0"/>
          <w:sz w:val="28"/>
          <w:szCs w:val="28"/>
          <w:shd w:val="clear" w:color="auto" w:fill="FFFFFF"/>
          <w:lang w:bidi="ar"/>
        </w:rPr>
        <w:t xml:space="preserve"> 一、微专业简介 </w:t>
      </w:r>
    </w:p>
    <w:p w14:paraId="20B2F90E">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Fonts w:hint="eastAsia" w:ascii="仿宋" w:hAnsi="仿宋" w:eastAsia="仿宋"/>
          <w:bCs/>
          <w:sz w:val="28"/>
          <w:szCs w:val="28"/>
        </w:rPr>
      </w:pPr>
      <w:r>
        <w:rPr>
          <w:rFonts w:ascii="仿宋" w:hAnsi="仿宋" w:eastAsia="仿宋"/>
          <w:bCs/>
          <w:sz w:val="28"/>
          <w:szCs w:val="28"/>
        </w:rPr>
        <w:t>集成电路光机微专业紧密对接国家集成电路产业战略及半导体高端装备自主发展需求，面向</w:t>
      </w:r>
      <w:r>
        <w:rPr>
          <w:rFonts w:hint="eastAsia" w:ascii="仿宋" w:hAnsi="仿宋" w:eastAsia="仿宋"/>
          <w:bCs/>
          <w:sz w:val="28"/>
          <w:szCs w:val="28"/>
        </w:rPr>
        <w:t>集成电路装备制造</w:t>
      </w:r>
      <w:r>
        <w:rPr>
          <w:rFonts w:ascii="仿宋" w:hAnsi="仿宋" w:eastAsia="仿宋"/>
          <w:bCs/>
          <w:sz w:val="28"/>
          <w:szCs w:val="28"/>
        </w:rPr>
        <w:t>领域对工程光学、精密机械设计、光学加工、机械加工实践、光学表面处理与检测等复合型人才的需求，依托学校机械工程、光电信息、智能制造及相关工程实践平台，提供 5 门“小而精”的产教融合课程，分别为集成电路导论、集成电路装备概论、工程光学</w:t>
      </w:r>
      <w:r>
        <w:rPr>
          <w:rFonts w:hint="eastAsia" w:ascii="仿宋" w:hAnsi="仿宋" w:eastAsia="仿宋"/>
          <w:bCs/>
          <w:sz w:val="28"/>
          <w:szCs w:val="28"/>
        </w:rPr>
        <w:t>、</w:t>
      </w:r>
      <w:r>
        <w:rPr>
          <w:rFonts w:ascii="仿宋" w:hAnsi="仿宋" w:eastAsia="仿宋"/>
          <w:bCs/>
          <w:sz w:val="28"/>
          <w:szCs w:val="28"/>
        </w:rPr>
        <w:t>光学精密加工技术、光学表面处理与精密测试，修读年限为 1 年。</w:t>
      </w:r>
    </w:p>
    <w:p w14:paraId="5590F997">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Fonts w:hint="eastAsia" w:ascii="仿宋" w:hAnsi="仿宋" w:eastAsia="仿宋"/>
          <w:bCs/>
          <w:sz w:val="28"/>
          <w:szCs w:val="28"/>
        </w:rPr>
      </w:pPr>
      <w:r>
        <w:rPr>
          <w:rFonts w:ascii="仿宋" w:hAnsi="仿宋" w:eastAsia="仿宋"/>
          <w:bCs/>
          <w:sz w:val="28"/>
          <w:szCs w:val="28"/>
        </w:rPr>
        <w:t>本微专业旨在培养学生系统了解集成电路产业基础、半导体装备体系的基本流程，掌握工程光学、精密机械设计、光学元件加工、机加工实践、光学表面处理与检测等关键环节的基本原理和工程实践方法，使学生能够深入了解</w:t>
      </w:r>
      <w:r>
        <w:rPr>
          <w:rFonts w:hint="eastAsia" w:ascii="仿宋" w:hAnsi="仿宋" w:eastAsia="仿宋"/>
          <w:bCs/>
          <w:sz w:val="28"/>
          <w:szCs w:val="28"/>
        </w:rPr>
        <w:t>半导体装备</w:t>
      </w:r>
      <w:r>
        <w:rPr>
          <w:rFonts w:ascii="仿宋" w:hAnsi="仿宋" w:eastAsia="仿宋"/>
          <w:bCs/>
          <w:sz w:val="28"/>
          <w:szCs w:val="28"/>
        </w:rPr>
        <w:t>制造、精密机械设计、光机系统构建、光学加工、表面处理、光学检测、生产技术支持及质量管理等领域，为未来前往集成电路装备制造领域就业或深造打下坚实基础。</w:t>
      </w:r>
    </w:p>
    <w:p w14:paraId="3643CCB7">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Style w:val="19"/>
          <w:rFonts w:hint="eastAsia" w:ascii="微软雅黑" w:hAnsi="微软雅黑" w:eastAsia="微软雅黑" w:cs="微软雅黑"/>
          <w:bCs/>
          <w:color w:val="333333"/>
          <w:kern w:val="0"/>
          <w:sz w:val="28"/>
          <w:szCs w:val="28"/>
          <w:shd w:val="clear" w:color="auto" w:fill="FFFFFF"/>
          <w:lang w:bidi="ar"/>
        </w:rPr>
      </w:pPr>
      <w:r>
        <w:rPr>
          <w:rStyle w:val="19"/>
          <w:rFonts w:hint="eastAsia" w:ascii="微软雅黑" w:hAnsi="微软雅黑" w:eastAsia="微软雅黑" w:cs="微软雅黑"/>
          <w:bCs/>
          <w:color w:val="333333"/>
          <w:kern w:val="0"/>
          <w:sz w:val="28"/>
          <w:szCs w:val="28"/>
          <w:shd w:val="clear" w:color="auto" w:fill="FFFFFF"/>
          <w:lang w:bidi="ar"/>
        </w:rPr>
        <w:t>二、 培养目标</w:t>
      </w:r>
    </w:p>
    <w:p w14:paraId="219B6106">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Fonts w:hint="eastAsia" w:ascii="仿宋" w:hAnsi="仿宋" w:eastAsia="仿宋"/>
          <w:bCs/>
          <w:sz w:val="28"/>
          <w:szCs w:val="28"/>
        </w:rPr>
      </w:pPr>
      <w:r>
        <w:rPr>
          <w:rFonts w:ascii="仿宋" w:hAnsi="仿宋" w:eastAsia="仿宋"/>
          <w:bCs/>
          <w:sz w:val="28"/>
          <w:szCs w:val="28"/>
        </w:rPr>
        <w:t>本微专业紧密围绕集成电路装备制造产业发展需求，聚焦</w:t>
      </w:r>
      <w:r>
        <w:rPr>
          <w:rFonts w:hint="eastAsia" w:ascii="仿宋" w:hAnsi="仿宋" w:eastAsia="仿宋"/>
          <w:bCs/>
          <w:sz w:val="28"/>
          <w:szCs w:val="28"/>
        </w:rPr>
        <w:t>半导体装备</w:t>
      </w:r>
      <w:r>
        <w:rPr>
          <w:rFonts w:ascii="仿宋" w:hAnsi="仿宋" w:eastAsia="仿宋"/>
          <w:bCs/>
          <w:sz w:val="28"/>
          <w:szCs w:val="28"/>
        </w:rPr>
        <w:t>制造领域的关键技术和工程岗位需求，以立德树人为根本，以应用型工程技术人才培养为目标。通过整合集成电路基础、装备认知、工程光学、精密机械设计、光学加工、机加工实践、表面处理与光学检测等课程模块，将</w:t>
      </w:r>
      <w:r>
        <w:rPr>
          <w:rFonts w:hint="eastAsia" w:ascii="仿宋" w:hAnsi="仿宋" w:eastAsia="仿宋"/>
          <w:bCs/>
          <w:sz w:val="28"/>
          <w:szCs w:val="28"/>
        </w:rPr>
        <w:t>装备</w:t>
      </w:r>
      <w:r>
        <w:rPr>
          <w:rFonts w:ascii="仿宋" w:hAnsi="仿宋" w:eastAsia="仿宋"/>
          <w:bCs/>
          <w:sz w:val="28"/>
          <w:szCs w:val="28"/>
        </w:rPr>
        <w:t>系统原理、关键光机部件设计、光学元件加工、机械加工实践和检测验证紧密结合，使学生系统掌握集成电路光机与机械加工方向的基础知识和实践方法。通过本微专业学习，学生应熟悉集成电路制造流程、半导体装备基本体系及</w:t>
      </w:r>
      <w:r>
        <w:rPr>
          <w:rFonts w:hint="eastAsia" w:ascii="仿宋" w:hAnsi="仿宋" w:eastAsia="仿宋"/>
          <w:bCs/>
          <w:sz w:val="28"/>
          <w:szCs w:val="28"/>
        </w:rPr>
        <w:t>装备</w:t>
      </w:r>
      <w:r>
        <w:rPr>
          <w:rFonts w:ascii="仿宋" w:hAnsi="仿宋" w:eastAsia="仿宋"/>
          <w:bCs/>
          <w:sz w:val="28"/>
          <w:szCs w:val="28"/>
        </w:rPr>
        <w:t>中光学系统、精密机械结构、光学元件、光学表面、加工工艺和检测验证的基本功能与工程要求，具备良好的职业通用素质、创新意识和团队合作精神，培养学生成为具备国际视野、适应半导体装备国产化和智能制造发展趋势，能够在</w:t>
      </w:r>
      <w:r>
        <w:rPr>
          <w:rFonts w:hint="eastAsia" w:ascii="仿宋" w:hAnsi="仿宋" w:eastAsia="仿宋"/>
          <w:bCs/>
          <w:sz w:val="28"/>
          <w:szCs w:val="28"/>
        </w:rPr>
        <w:t>集成电路装备制造</w:t>
      </w:r>
      <w:r>
        <w:rPr>
          <w:rFonts w:ascii="仿宋" w:hAnsi="仿宋" w:eastAsia="仿宋"/>
          <w:bCs/>
          <w:sz w:val="28"/>
          <w:szCs w:val="28"/>
        </w:rPr>
        <w:t>、精密机械设计、光学加工、光学表面处理、光学检测、生产技术支持和质量管理等相关领域胜任工作的高素质复合型应用工程技术人才。</w:t>
      </w:r>
    </w:p>
    <w:p w14:paraId="4E6CEF2E">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Style w:val="19"/>
          <w:rFonts w:hint="eastAsia" w:ascii="微软雅黑" w:hAnsi="微软雅黑" w:eastAsia="微软雅黑" w:cs="微软雅黑"/>
          <w:bCs/>
          <w:color w:val="333333"/>
          <w:kern w:val="0"/>
          <w:sz w:val="28"/>
          <w:szCs w:val="28"/>
          <w:shd w:val="clear" w:color="auto" w:fill="FFFFFF"/>
          <w:lang w:bidi="ar"/>
        </w:rPr>
      </w:pPr>
      <w:r>
        <w:rPr>
          <w:rStyle w:val="19"/>
          <w:rFonts w:hint="eastAsia" w:ascii="微软雅黑" w:hAnsi="微软雅黑" w:eastAsia="微软雅黑" w:cs="微软雅黑"/>
          <w:bCs/>
          <w:color w:val="333333"/>
          <w:kern w:val="0"/>
          <w:sz w:val="28"/>
          <w:szCs w:val="28"/>
          <w:shd w:val="clear" w:color="auto" w:fill="FFFFFF"/>
          <w:lang w:bidi="ar"/>
        </w:rPr>
        <w:t>三、 培养要求</w:t>
      </w:r>
    </w:p>
    <w:p w14:paraId="2F9CE7CD">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Fonts w:hint="eastAsia" w:ascii="仿宋" w:hAnsi="仿宋" w:eastAsia="仿宋"/>
          <w:bCs/>
          <w:sz w:val="28"/>
          <w:szCs w:val="36"/>
        </w:rPr>
      </w:pPr>
      <w:r>
        <w:rPr>
          <w:rFonts w:hint="eastAsia" w:ascii="仿宋" w:hAnsi="仿宋" w:eastAsia="仿宋"/>
          <w:bCs/>
          <w:sz w:val="28"/>
          <w:szCs w:val="36"/>
        </w:rPr>
        <w:t>（1）</w:t>
      </w:r>
      <w:r>
        <w:rPr>
          <w:rFonts w:hint="eastAsia" w:ascii="仿宋" w:hAnsi="仿宋" w:eastAsia="仿宋"/>
          <w:bCs/>
          <w:sz w:val="28"/>
          <w:szCs w:val="36"/>
          <w:lang w:val="en-US" w:eastAsia="zh-CN"/>
        </w:rPr>
        <w:t>知识层面：</w:t>
      </w:r>
      <w:r>
        <w:rPr>
          <w:rFonts w:ascii="仿宋" w:hAnsi="仿宋" w:eastAsia="仿宋"/>
          <w:bCs/>
          <w:sz w:val="28"/>
          <w:szCs w:val="36"/>
        </w:rPr>
        <w:t>学生需系统掌握集成电路制造及半导体装备方向的基础理论知识，包括集成电路基本原理、晶圆制造流程、半导体装备体系、工程光学、光学成像、光机结构、精密机械设计、机械加工基础、光学加工工艺、光学表面处理、光学检测及工程应用等内容。熟悉</w:t>
      </w:r>
      <w:r>
        <w:rPr>
          <w:rFonts w:hint="eastAsia" w:ascii="仿宋" w:hAnsi="仿宋" w:eastAsia="仿宋"/>
          <w:bCs/>
          <w:sz w:val="28"/>
          <w:szCs w:val="36"/>
        </w:rPr>
        <w:t>集成电路装备制造</w:t>
      </w:r>
      <w:r>
        <w:rPr>
          <w:rFonts w:ascii="仿宋" w:hAnsi="仿宋" w:eastAsia="仿宋"/>
          <w:bCs/>
          <w:sz w:val="28"/>
          <w:szCs w:val="36"/>
        </w:rPr>
        <w:t>中光学性能、机械结构稳定性、加工精度、形位公差、表面质量、装配误差、光学面形、表面缺陷和检测验证等关键环节的基本原理与工程控制要点。</w:t>
      </w:r>
    </w:p>
    <w:p w14:paraId="2FED1906">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Fonts w:hint="eastAsia" w:ascii="仿宋" w:hAnsi="仿宋" w:eastAsia="仿宋"/>
          <w:bCs/>
          <w:sz w:val="28"/>
          <w:szCs w:val="36"/>
        </w:rPr>
      </w:pPr>
      <w:r>
        <w:rPr>
          <w:rFonts w:hint="eastAsia" w:ascii="仿宋" w:hAnsi="仿宋" w:eastAsia="仿宋"/>
          <w:bCs/>
          <w:sz w:val="28"/>
          <w:szCs w:val="36"/>
        </w:rPr>
        <w:t>（2）能力层面：</w:t>
      </w:r>
      <w:r>
        <w:rPr>
          <w:rFonts w:ascii="仿宋" w:hAnsi="仿宋" w:eastAsia="仿宋"/>
          <w:bCs/>
          <w:sz w:val="28"/>
          <w:szCs w:val="36"/>
        </w:rPr>
        <w:t>学生需具备一定的工程分析、工艺理解与实践操作能力，能够结合典型光机结构件和光学元件开展图样识读、结构分析、加工工艺理解、机加工实践、表面质量评价、光学检测和检测数据判读。通过课程学习和实践训练，学生应能够初步分析光机制造中的光机协同设计、关键零部件加工精度、光学元件加工质量、表面处理效果、面形误差、粗糙度、表面缺陷和检测结果等实际工程问题，并具备适应高端装备制造与智能制造发展趋势的创新思维能力。</w:t>
      </w:r>
    </w:p>
    <w:p w14:paraId="17B3CF20">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Fonts w:hint="eastAsia" w:ascii="仿宋" w:hAnsi="仿宋" w:eastAsia="仿宋"/>
          <w:bCs/>
          <w:sz w:val="28"/>
          <w:szCs w:val="36"/>
        </w:rPr>
      </w:pPr>
      <w:r>
        <w:rPr>
          <w:rFonts w:hint="eastAsia" w:ascii="仿宋" w:hAnsi="仿宋" w:eastAsia="仿宋"/>
          <w:bCs/>
          <w:sz w:val="28"/>
          <w:szCs w:val="36"/>
        </w:rPr>
        <w:t>（3）素质层面：</w:t>
      </w:r>
      <w:r>
        <w:rPr>
          <w:rFonts w:ascii="仿宋" w:hAnsi="仿宋" w:eastAsia="仿宋"/>
          <w:bCs/>
          <w:sz w:val="28"/>
          <w:szCs w:val="36"/>
        </w:rPr>
        <w:t>学生需要具备良好的职业通用素质、规范意识、沟通协调能力和团队合作精神，能够快速适应产教融合和企业工程实践环境。此外，还需要具备较强的安全意识、质量意识、创新意识、国际视野与责任心，能够遵守半导体装备制造、精密加工、光学加工、表面处理和检测实验相关规范，为集成电路高端装备制造及相关产业发展做出贡献。</w:t>
      </w:r>
    </w:p>
    <w:p w14:paraId="7E223902">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Style w:val="19"/>
          <w:bCs/>
          <w:kern w:val="0"/>
          <w:shd w:val="clear" w:color="auto" w:fill="FFFFFF"/>
          <w:lang w:bidi="ar"/>
        </w:rPr>
      </w:pPr>
      <w:r>
        <w:rPr>
          <w:rStyle w:val="19"/>
          <w:rFonts w:hint="eastAsia" w:ascii="微软雅黑" w:hAnsi="微软雅黑" w:eastAsia="微软雅黑" w:cs="微软雅黑"/>
          <w:bCs/>
          <w:color w:val="333333"/>
          <w:kern w:val="0"/>
          <w:sz w:val="28"/>
          <w:szCs w:val="28"/>
          <w:shd w:val="clear" w:color="auto" w:fill="FFFFFF"/>
          <w:lang w:bidi="ar"/>
        </w:rPr>
        <w:t>四、 招生对象及条件</w:t>
      </w:r>
    </w:p>
    <w:p w14:paraId="7DF18209">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b/>
          <w:bCs/>
          <w:kern w:val="0"/>
          <w:shd w:val="clear" w:color="auto" w:fill="FFFFFF"/>
          <w:lang w:bidi="ar"/>
        </w:rPr>
      </w:pPr>
      <w:r>
        <w:rPr>
          <w:rFonts w:ascii="仿宋" w:hAnsi="仿宋" w:eastAsia="仿宋"/>
          <w:bCs/>
          <w:sz w:val="28"/>
          <w:szCs w:val="28"/>
        </w:rPr>
        <w:t>招生对象：要求为本科2024和2025级的学生（优先2024级），以确保学生已经具备了一定的专业基础知识和学习能力。在校生（尤其是工程、电子、材料、物理、机械、自动化、光电信息、测控技术与仪器、智能制造等相关专业学生），具备一定的科学探究能力和工程实践能力，</w:t>
      </w:r>
      <w:r>
        <w:rPr>
          <w:rFonts w:hint="eastAsia" w:ascii="仿宋" w:hAnsi="仿宋" w:eastAsia="仿宋"/>
          <w:bCs/>
          <w:sz w:val="28"/>
          <w:szCs w:val="28"/>
        </w:rPr>
        <w:t>对集成电路、半导体高端装备及相关领域表现出浓厚的兴趣，并具备相应的学习动机和目标。</w:t>
      </w:r>
    </w:p>
    <w:p w14:paraId="3E2B7F1B">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b/>
          <w:bCs/>
          <w:kern w:val="0"/>
          <w:shd w:val="clear" w:color="auto" w:fill="FFFFFF"/>
          <w:lang w:bidi="ar"/>
        </w:rPr>
      </w:pPr>
      <w:r>
        <w:rPr>
          <w:rFonts w:hint="eastAsia" w:ascii="仿宋" w:hAnsi="仿宋" w:eastAsia="仿宋"/>
          <w:bCs/>
          <w:sz w:val="28"/>
          <w:szCs w:val="28"/>
        </w:rPr>
        <w:t>招生要求：</w:t>
      </w:r>
    </w:p>
    <w:p w14:paraId="29C74DE5">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bCs/>
          <w:sz w:val="28"/>
          <w:szCs w:val="28"/>
        </w:rPr>
      </w:pPr>
      <w:r>
        <w:rPr>
          <w:rFonts w:hint="eastAsia" w:ascii="仿宋" w:hAnsi="仿宋" w:eastAsia="仿宋"/>
          <w:bCs/>
          <w:sz w:val="28"/>
          <w:szCs w:val="28"/>
        </w:rPr>
        <w:t>（1）成绩优异，具有良好的数学、物理、机械及工程基础。</w:t>
      </w:r>
    </w:p>
    <w:p w14:paraId="5E3ACBD9">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bCs/>
          <w:sz w:val="28"/>
          <w:szCs w:val="28"/>
        </w:rPr>
      </w:pPr>
      <w:r>
        <w:rPr>
          <w:rFonts w:hint="eastAsia" w:ascii="仿宋" w:hAnsi="仿宋" w:eastAsia="仿宋"/>
          <w:bCs/>
          <w:sz w:val="28"/>
          <w:szCs w:val="28"/>
        </w:rPr>
        <w:t>（2）具备团队合作精神与规范意识，能够积极参与工程光学学习、精密机械设计训练、光学加工与检测实验及企业实践。</w:t>
      </w:r>
    </w:p>
    <w:p w14:paraId="2C953617">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bCs/>
          <w:sz w:val="28"/>
          <w:szCs w:val="28"/>
        </w:rPr>
      </w:pPr>
      <w:r>
        <w:rPr>
          <w:rFonts w:hint="eastAsia" w:ascii="仿宋" w:hAnsi="仿宋" w:eastAsia="仿宋"/>
          <w:bCs/>
          <w:sz w:val="28"/>
          <w:szCs w:val="28"/>
        </w:rPr>
        <w:t>（3）有志于在集成电路装备、精密机械设计、光学加工、光学检测与质量管理等相关领域继续深造或就业。</w:t>
      </w:r>
    </w:p>
    <w:p w14:paraId="2FCFA571">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招生人数： 30-40 人</w:t>
      </w:r>
    </w:p>
    <w:p w14:paraId="4E3EF18D">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Style w:val="19"/>
          <w:rFonts w:hint="eastAsia" w:ascii="微软雅黑" w:hAnsi="微软雅黑" w:eastAsia="微软雅黑" w:cs="微软雅黑"/>
          <w:bCs/>
          <w:color w:val="333333"/>
          <w:kern w:val="0"/>
          <w:sz w:val="28"/>
          <w:szCs w:val="28"/>
          <w:shd w:val="clear" w:color="auto" w:fill="FFFFFF"/>
          <w:lang w:bidi="ar"/>
        </w:rPr>
      </w:pPr>
      <w:r>
        <w:rPr>
          <w:rStyle w:val="19"/>
          <w:rFonts w:hint="eastAsia" w:ascii="微软雅黑" w:hAnsi="微软雅黑" w:eastAsia="微软雅黑" w:cs="微软雅黑"/>
          <w:bCs/>
          <w:color w:val="333333"/>
          <w:kern w:val="0"/>
          <w:sz w:val="28"/>
          <w:szCs w:val="28"/>
          <w:shd w:val="clear" w:color="auto" w:fill="FFFFFF"/>
          <w:lang w:bidi="ar"/>
        </w:rPr>
        <w:t> 五、学制及证书授予</w:t>
      </w:r>
    </w:p>
    <w:p w14:paraId="0C6F3EF0">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Fonts w:hint="eastAsia" w:ascii="仿宋" w:hAnsi="仿宋" w:eastAsia="仿宋"/>
          <w:sz w:val="28"/>
          <w:szCs w:val="28"/>
        </w:rPr>
      </w:pPr>
      <w:r>
        <w:rPr>
          <w:rFonts w:ascii="仿宋" w:hAnsi="仿宋" w:eastAsia="仿宋"/>
          <w:sz w:val="28"/>
        </w:rPr>
        <w:t>集成电路光机微专业修读年限为1年，成绩单独管理，不计入主修专业成绩单。学生在毕业前，修满本培养方案规定的10学分，颁发</w:t>
      </w:r>
      <w:r>
        <w:rPr>
          <w:rFonts w:ascii="仿宋" w:hAnsi="仿宋" w:eastAsia="仿宋"/>
          <w:b/>
          <w:sz w:val="28"/>
        </w:rPr>
        <w:t>集成电路光机微专业证书</w:t>
      </w:r>
      <w:r>
        <w:rPr>
          <w:rFonts w:ascii="仿宋" w:hAnsi="仿宋" w:eastAsia="仿宋"/>
          <w:sz w:val="28"/>
        </w:rPr>
        <w:t>。课程修读合格的学员，可作为进入相关产教融合专项班的重要遴选对象，并优先推荐进入相关半导体装备企业实习和就业。微专业修读后入选相关产教融合专项班的学员，</w:t>
      </w:r>
      <w:r>
        <w:rPr>
          <w:rFonts w:hint="eastAsia" w:ascii="仿宋" w:hAnsi="仿宋" w:eastAsia="仿宋"/>
          <w:sz w:val="28"/>
          <w:szCs w:val="28"/>
        </w:rPr>
        <w:t>根据课程与培养计划课程体系要求情况，1-3门专业课可以在教务处批准后进行</w:t>
      </w:r>
      <w:r>
        <w:rPr>
          <w:rFonts w:hint="eastAsia" w:ascii="仿宋" w:hAnsi="仿宋" w:eastAsia="仿宋"/>
          <w:b/>
          <w:bCs/>
          <w:sz w:val="28"/>
          <w:szCs w:val="28"/>
        </w:rPr>
        <w:t>学分替代</w:t>
      </w:r>
      <w:r>
        <w:rPr>
          <w:rFonts w:hint="eastAsia" w:ascii="仿宋" w:hAnsi="仿宋" w:eastAsia="仿宋"/>
          <w:sz w:val="28"/>
          <w:szCs w:val="28"/>
        </w:rPr>
        <w:t>。</w:t>
      </w:r>
    </w:p>
    <w:p w14:paraId="421CBF7D">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Fonts w:hint="eastAsia" w:ascii="微软雅黑" w:hAnsi="微软雅黑" w:eastAsia="微软雅黑" w:cs="微软雅黑"/>
          <w:color w:val="333333"/>
          <w:sz w:val="28"/>
          <w:szCs w:val="28"/>
        </w:rPr>
      </w:pPr>
      <w:r>
        <w:rPr>
          <w:rStyle w:val="19"/>
          <w:rFonts w:hint="eastAsia" w:ascii="微软雅黑" w:hAnsi="微软雅黑" w:eastAsia="微软雅黑" w:cs="微软雅黑"/>
          <w:bCs/>
          <w:color w:val="333333"/>
          <w:kern w:val="0"/>
          <w:sz w:val="28"/>
          <w:szCs w:val="28"/>
          <w:shd w:val="clear" w:color="auto" w:fill="FFFFFF"/>
          <w:lang w:bidi="ar"/>
        </w:rPr>
        <w:t>六、 学费</w:t>
      </w:r>
    </w:p>
    <w:p w14:paraId="44933136">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根据学院讨论决定，</w:t>
      </w:r>
      <w:r>
        <w:rPr>
          <w:rFonts w:ascii="仿宋" w:hAnsi="仿宋" w:eastAsia="仿宋"/>
          <w:bCs/>
          <w:sz w:val="28"/>
          <w:szCs w:val="28"/>
        </w:rPr>
        <w:t>集成电路光机微专业不收取学费。</w:t>
      </w:r>
    </w:p>
    <w:p w14:paraId="45909FF6">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微软雅黑" w:hAnsi="微软雅黑" w:eastAsia="微软雅黑" w:cs="微软雅黑"/>
          <w:color w:val="333333"/>
          <w:sz w:val="28"/>
          <w:szCs w:val="28"/>
        </w:rPr>
      </w:pPr>
      <w:r>
        <w:rPr>
          <w:rStyle w:val="19"/>
          <w:rFonts w:hint="eastAsia" w:ascii="微软雅黑" w:hAnsi="微软雅黑" w:eastAsia="微软雅黑" w:cs="微软雅黑"/>
          <w:bCs/>
          <w:color w:val="333333"/>
          <w:kern w:val="0"/>
          <w:sz w:val="28"/>
          <w:szCs w:val="28"/>
          <w:shd w:val="clear" w:color="auto" w:fill="FFFFFF"/>
          <w:lang w:bidi="ar"/>
        </w:rPr>
        <w:t>七、 报名及咨询</w:t>
      </w:r>
    </w:p>
    <w:p w14:paraId="5855715D">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报名网址</w:t>
      </w:r>
      <w:r>
        <w:rPr>
          <w:rFonts w:hint="eastAsia" w:ascii="仿宋_GB2312" w:eastAsia="仿宋_GB2312"/>
          <w:bCs/>
          <w:sz w:val="28"/>
          <w:szCs w:val="28"/>
        </w:rPr>
        <w:t>https://v.wjx.cn/vm/Q03Cx1K.aspx#</w:t>
      </w:r>
      <w:r>
        <w:rPr>
          <w:rFonts w:hint="eastAsia" w:ascii="仿宋" w:hAnsi="仿宋" w:eastAsia="仿宋"/>
          <w:bCs/>
          <w:sz w:val="28"/>
          <w:szCs w:val="28"/>
        </w:rPr>
        <w:t>，学院审核后，择优确定微专业录取名单，报教务处备案并发布录取信息。</w:t>
      </w:r>
    </w:p>
    <w:p w14:paraId="60EAE42F">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bCs/>
          <w:sz w:val="28"/>
          <w:szCs w:val="28"/>
        </w:rPr>
      </w:pPr>
      <w:r>
        <w:rPr>
          <w:rFonts w:hint="eastAsia" w:ascii="仿宋" w:hAnsi="仿宋" w:eastAsia="仿宋"/>
          <w:bCs/>
          <w:sz w:val="28"/>
          <w:szCs w:val="28"/>
        </w:rPr>
        <w:t>联系人：陆老师、李老师</w:t>
      </w:r>
    </w:p>
    <w:p w14:paraId="2E40D264">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咨询邮箱：</w:t>
      </w:r>
      <w:r>
        <w:fldChar w:fldCharType="begin"/>
      </w:r>
      <w:r>
        <w:instrText xml:space="preserve"> HYPERLINK "mailto:fflu@sspu.edu.cn," </w:instrText>
      </w:r>
      <w:r>
        <w:fldChar w:fldCharType="separate"/>
      </w:r>
      <w:r>
        <w:rPr>
          <w:rFonts w:hint="eastAsia" w:ascii="仿宋" w:hAnsi="仿宋" w:eastAsia="仿宋"/>
          <w:bCs/>
          <w:sz w:val="28"/>
          <w:szCs w:val="28"/>
        </w:rPr>
        <w:t>fflu@sspu.edu.cn,</w:t>
      </w:r>
      <w:r>
        <w:rPr>
          <w:rFonts w:hint="eastAsia" w:ascii="仿宋" w:hAnsi="仿宋" w:eastAsia="仿宋"/>
          <w:bCs/>
          <w:sz w:val="28"/>
          <w:szCs w:val="28"/>
        </w:rPr>
        <w:fldChar w:fldCharType="end"/>
      </w:r>
      <w:r>
        <w:rPr>
          <w:rFonts w:hint="eastAsia" w:ascii="仿宋" w:hAnsi="仿宋" w:eastAsia="仿宋"/>
          <w:bCs/>
          <w:sz w:val="28"/>
          <w:szCs w:val="28"/>
        </w:rPr>
        <w:t>liyf@sspu.edu.cn（请在邮件标题注明“微专业咨询”）</w:t>
      </w:r>
    </w:p>
    <w:p w14:paraId="07D40EB6">
      <w:pPr>
        <w:keepNext w:val="0"/>
        <w:keepLines w:val="0"/>
        <w:pageBreakBefore w:val="0"/>
        <w:widowControl/>
        <w:shd w:val="clear" w:color="auto" w:fill="FFFFFF"/>
        <w:kinsoku/>
        <w:wordWrap/>
        <w:overflowPunct/>
        <w:topLinePunct w:val="0"/>
        <w:autoSpaceDE/>
        <w:autoSpaceDN/>
        <w:bidi w:val="0"/>
        <w:spacing w:line="360" w:lineRule="auto"/>
        <w:ind w:firstLine="560" w:firstLineChars="200"/>
        <w:textAlignment w:val="auto"/>
        <w:rPr>
          <w:rFonts w:hint="eastAsia" w:ascii="微软雅黑" w:hAnsi="微软雅黑" w:eastAsia="微软雅黑" w:cs="微软雅黑"/>
          <w:color w:val="333333"/>
          <w:sz w:val="28"/>
          <w:szCs w:val="28"/>
        </w:rPr>
      </w:pPr>
      <w:r>
        <w:rPr>
          <w:rStyle w:val="19"/>
          <w:rFonts w:hint="eastAsia" w:ascii="微软雅黑" w:hAnsi="微软雅黑" w:eastAsia="微软雅黑" w:cs="微软雅黑"/>
          <w:bCs/>
          <w:color w:val="333333"/>
          <w:kern w:val="0"/>
          <w:sz w:val="28"/>
          <w:szCs w:val="28"/>
          <w:shd w:val="clear" w:color="auto" w:fill="FFFFFF"/>
          <w:lang w:bidi="ar"/>
        </w:rPr>
        <w:t>八、 教学计划与课程简介</w:t>
      </w:r>
    </w:p>
    <w:p w14:paraId="6D45216C">
      <w:pPr>
        <w:keepNext w:val="0"/>
        <w:keepLines w:val="0"/>
        <w:pageBreakBefore w:val="0"/>
        <w:kinsoku/>
        <w:wordWrap/>
        <w:overflowPunct/>
        <w:topLinePunct w:val="0"/>
        <w:autoSpaceDE/>
        <w:autoSpaceDN/>
        <w:bidi w:val="0"/>
        <w:adjustRightInd w:val="0"/>
        <w:snapToGrid w:val="0"/>
        <w:spacing w:line="360" w:lineRule="auto"/>
        <w:ind w:left="480" w:firstLine="482" w:firstLineChars="200"/>
        <w:textAlignment w:val="auto"/>
        <w:outlineLvl w:val="0"/>
        <w:rPr>
          <w:rFonts w:hint="eastAsia" w:ascii="仿宋" w:hAnsi="仿宋" w:eastAsia="仿宋"/>
          <w:b/>
          <w:sz w:val="24"/>
        </w:rPr>
      </w:pPr>
      <w:r>
        <w:rPr>
          <w:rFonts w:hint="eastAsia" w:ascii="仿宋" w:hAnsi="仿宋" w:eastAsia="仿宋"/>
          <w:b/>
          <w:sz w:val="24"/>
        </w:rPr>
        <w:t>微专业课程设置及教学进程计划表</w:t>
      </w:r>
    </w:p>
    <w:tbl>
      <w:tblPr>
        <w:tblStyle w:val="17"/>
        <w:tblW w:w="109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129"/>
        <w:gridCol w:w="1610"/>
        <w:gridCol w:w="1044"/>
        <w:gridCol w:w="1256"/>
        <w:gridCol w:w="1100"/>
        <w:gridCol w:w="977"/>
        <w:gridCol w:w="1489"/>
        <w:gridCol w:w="1731"/>
      </w:tblGrid>
      <w:tr w14:paraId="7B43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67" w:type="dxa"/>
            <w:vMerge w:val="restart"/>
            <w:vAlign w:val="center"/>
          </w:tcPr>
          <w:p w14:paraId="10202D1D">
            <w:pPr>
              <w:keepNext w:val="0"/>
              <w:keepLines w:val="0"/>
              <w:pageBreakBefore w:val="0"/>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lang w:val="en-US" w:eastAsia="zh-CN"/>
              </w:rPr>
              <w:t>序号</w:t>
            </w:r>
            <w:r>
              <w:rPr>
                <w:rFonts w:hint="eastAsia" w:ascii="仿宋" w:hAnsi="仿宋" w:eastAsia="仿宋"/>
                <w:bCs/>
                <w:sz w:val="24"/>
              </w:rPr>
              <w:t>序</w:t>
            </w:r>
          </w:p>
        </w:tc>
        <w:tc>
          <w:tcPr>
            <w:tcW w:w="2739" w:type="dxa"/>
            <w:gridSpan w:val="2"/>
            <w:vMerge w:val="restart"/>
            <w:vAlign w:val="center"/>
          </w:tcPr>
          <w:p w14:paraId="3D6F7532">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pacing w:val="20"/>
                <w:sz w:val="24"/>
              </w:rPr>
            </w:pPr>
            <w:r>
              <w:rPr>
                <w:rFonts w:hint="eastAsia" w:ascii="仿宋" w:hAnsi="仿宋" w:eastAsia="仿宋"/>
                <w:bCs/>
                <w:sz w:val="24"/>
              </w:rPr>
              <w:t>课程名称</w:t>
            </w:r>
          </w:p>
        </w:tc>
        <w:tc>
          <w:tcPr>
            <w:tcW w:w="1044" w:type="dxa"/>
            <w:vMerge w:val="restart"/>
            <w:vAlign w:val="center"/>
          </w:tcPr>
          <w:p w14:paraId="77EFD9D3">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pacing w:val="20"/>
                <w:sz w:val="24"/>
              </w:rPr>
            </w:pPr>
            <w:r>
              <w:rPr>
                <w:rFonts w:hint="eastAsia" w:ascii="仿宋" w:hAnsi="仿宋" w:eastAsia="仿宋"/>
                <w:bCs/>
                <w:sz w:val="24"/>
              </w:rPr>
              <w:t>学分</w:t>
            </w:r>
          </w:p>
        </w:tc>
        <w:tc>
          <w:tcPr>
            <w:tcW w:w="3333" w:type="dxa"/>
            <w:gridSpan w:val="3"/>
          </w:tcPr>
          <w:p w14:paraId="47846B9D">
            <w:pPr>
              <w:keepNext w:val="0"/>
              <w:keepLines w:val="0"/>
              <w:pageBreakBefore w:val="0"/>
              <w:widowControl/>
              <w:kinsoku/>
              <w:wordWrap/>
              <w:overflowPunct/>
              <w:topLinePunct w:val="0"/>
              <w:autoSpaceDE/>
              <w:autoSpaceDN/>
              <w:bidi w:val="0"/>
              <w:spacing w:line="360" w:lineRule="auto"/>
              <w:ind w:firstLine="600" w:firstLineChars="200"/>
              <w:jc w:val="center"/>
              <w:textAlignment w:val="auto"/>
              <w:rPr>
                <w:rFonts w:hint="eastAsia" w:ascii="仿宋" w:hAnsi="仿宋" w:eastAsia="仿宋"/>
                <w:bCs/>
                <w:spacing w:val="20"/>
                <w:sz w:val="24"/>
              </w:rPr>
            </w:pPr>
            <w:r>
              <w:rPr>
                <w:rFonts w:hint="eastAsia" w:ascii="仿宋" w:hAnsi="仿宋" w:eastAsia="仿宋"/>
                <w:bCs/>
                <w:spacing w:val="30"/>
                <w:kern w:val="0"/>
                <w:sz w:val="24"/>
                <w:fitText w:val="840" w:id="-433449984"/>
              </w:rPr>
              <w:t>学时</w:t>
            </w:r>
            <w:r>
              <w:rPr>
                <w:rFonts w:hint="eastAsia" w:ascii="仿宋" w:hAnsi="仿宋" w:eastAsia="仿宋"/>
                <w:bCs/>
                <w:spacing w:val="0"/>
                <w:kern w:val="0"/>
                <w:sz w:val="24"/>
                <w:fitText w:val="840" w:id="-433449984"/>
              </w:rPr>
              <w:t>数</w:t>
            </w:r>
          </w:p>
        </w:tc>
        <w:tc>
          <w:tcPr>
            <w:tcW w:w="1489" w:type="dxa"/>
            <w:vMerge w:val="restart"/>
            <w:vAlign w:val="center"/>
          </w:tcPr>
          <w:p w14:paraId="3E213888">
            <w:pPr>
              <w:keepNext w:val="0"/>
              <w:keepLines w:val="0"/>
              <w:pageBreakBefore w:val="0"/>
              <w:widowControl/>
              <w:kinsoku/>
              <w:wordWrap/>
              <w:overflowPunct/>
              <w:topLinePunct w:val="0"/>
              <w:autoSpaceDE/>
              <w:autoSpaceDN/>
              <w:bidi w:val="0"/>
              <w:spacing w:line="360" w:lineRule="auto"/>
              <w:ind w:firstLine="560" w:firstLineChars="200"/>
              <w:jc w:val="center"/>
              <w:textAlignment w:val="auto"/>
              <w:rPr>
                <w:rFonts w:hint="eastAsia" w:ascii="仿宋" w:hAnsi="仿宋" w:eastAsia="仿宋"/>
                <w:bCs/>
                <w:spacing w:val="20"/>
                <w:sz w:val="24"/>
              </w:rPr>
            </w:pPr>
            <w:r>
              <w:rPr>
                <w:rFonts w:hint="eastAsia" w:ascii="仿宋" w:hAnsi="仿宋" w:eastAsia="仿宋"/>
                <w:bCs/>
                <w:spacing w:val="20"/>
                <w:sz w:val="24"/>
              </w:rPr>
              <w:t>授课方式（混合、线下）</w:t>
            </w:r>
          </w:p>
        </w:tc>
        <w:tc>
          <w:tcPr>
            <w:tcW w:w="1731" w:type="dxa"/>
            <w:vMerge w:val="restart"/>
            <w:vAlign w:val="center"/>
          </w:tcPr>
          <w:p w14:paraId="1B8292B9">
            <w:pPr>
              <w:keepNext w:val="0"/>
              <w:keepLines w:val="0"/>
              <w:pageBreakBefore w:val="0"/>
              <w:widowControl/>
              <w:kinsoku/>
              <w:wordWrap/>
              <w:overflowPunct/>
              <w:topLinePunct w:val="0"/>
              <w:autoSpaceDE/>
              <w:autoSpaceDN/>
              <w:bidi w:val="0"/>
              <w:spacing w:line="360" w:lineRule="auto"/>
              <w:ind w:firstLine="560" w:firstLineChars="200"/>
              <w:jc w:val="center"/>
              <w:textAlignment w:val="auto"/>
              <w:rPr>
                <w:rFonts w:hint="eastAsia" w:ascii="仿宋" w:hAnsi="仿宋" w:eastAsia="仿宋"/>
                <w:bCs/>
                <w:spacing w:val="20"/>
                <w:sz w:val="24"/>
              </w:rPr>
            </w:pPr>
            <w:r>
              <w:rPr>
                <w:rFonts w:hint="eastAsia" w:ascii="仿宋" w:hAnsi="仿宋" w:eastAsia="仿宋"/>
                <w:bCs/>
                <w:spacing w:val="20"/>
                <w:sz w:val="24"/>
              </w:rPr>
              <w:t>开课学期</w:t>
            </w:r>
          </w:p>
        </w:tc>
      </w:tr>
      <w:tr w14:paraId="6682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Merge w:val="continue"/>
          </w:tcPr>
          <w:p w14:paraId="6923C71A">
            <w:pPr>
              <w:keepNext w:val="0"/>
              <w:keepLines w:val="0"/>
              <w:pageBreakBefore w:val="0"/>
              <w:widowControl/>
              <w:kinsoku/>
              <w:wordWrap/>
              <w:overflowPunct/>
              <w:topLinePunct w:val="0"/>
              <w:autoSpaceDE/>
              <w:autoSpaceDN/>
              <w:bidi w:val="0"/>
              <w:spacing w:line="360" w:lineRule="auto"/>
              <w:ind w:firstLine="562" w:firstLineChars="200"/>
              <w:jc w:val="center"/>
              <w:textAlignment w:val="auto"/>
              <w:rPr>
                <w:rFonts w:hint="eastAsia" w:ascii="仿宋" w:hAnsi="仿宋" w:eastAsia="仿宋"/>
                <w:b/>
                <w:spacing w:val="20"/>
                <w:sz w:val="24"/>
              </w:rPr>
            </w:pPr>
          </w:p>
        </w:tc>
        <w:tc>
          <w:tcPr>
            <w:tcW w:w="2739" w:type="dxa"/>
            <w:gridSpan w:val="2"/>
            <w:vMerge w:val="continue"/>
            <w:vAlign w:val="center"/>
          </w:tcPr>
          <w:p w14:paraId="1C9A2290">
            <w:pPr>
              <w:keepNext w:val="0"/>
              <w:keepLines w:val="0"/>
              <w:pageBreakBefore w:val="0"/>
              <w:widowControl/>
              <w:kinsoku/>
              <w:wordWrap/>
              <w:overflowPunct/>
              <w:topLinePunct w:val="0"/>
              <w:autoSpaceDE/>
              <w:autoSpaceDN/>
              <w:bidi w:val="0"/>
              <w:spacing w:line="360" w:lineRule="auto"/>
              <w:ind w:firstLine="562" w:firstLineChars="200"/>
              <w:jc w:val="center"/>
              <w:textAlignment w:val="auto"/>
              <w:rPr>
                <w:rFonts w:hint="eastAsia" w:ascii="仿宋" w:hAnsi="仿宋" w:eastAsia="仿宋"/>
                <w:b/>
                <w:spacing w:val="20"/>
                <w:sz w:val="24"/>
              </w:rPr>
            </w:pPr>
          </w:p>
        </w:tc>
        <w:tc>
          <w:tcPr>
            <w:tcW w:w="1044" w:type="dxa"/>
            <w:vMerge w:val="continue"/>
            <w:vAlign w:val="center"/>
          </w:tcPr>
          <w:p w14:paraId="602CBA4A">
            <w:pPr>
              <w:keepNext w:val="0"/>
              <w:keepLines w:val="0"/>
              <w:pageBreakBefore w:val="0"/>
              <w:widowControl/>
              <w:kinsoku/>
              <w:wordWrap/>
              <w:overflowPunct/>
              <w:topLinePunct w:val="0"/>
              <w:autoSpaceDE/>
              <w:autoSpaceDN/>
              <w:bidi w:val="0"/>
              <w:spacing w:line="360" w:lineRule="auto"/>
              <w:ind w:firstLine="562" w:firstLineChars="200"/>
              <w:jc w:val="center"/>
              <w:textAlignment w:val="auto"/>
              <w:rPr>
                <w:rFonts w:hint="eastAsia" w:ascii="仿宋" w:hAnsi="仿宋" w:eastAsia="仿宋"/>
                <w:b/>
                <w:spacing w:val="20"/>
                <w:sz w:val="24"/>
              </w:rPr>
            </w:pPr>
          </w:p>
        </w:tc>
        <w:tc>
          <w:tcPr>
            <w:tcW w:w="1256" w:type="dxa"/>
            <w:vAlign w:val="center"/>
          </w:tcPr>
          <w:p w14:paraId="2EF389C4">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pacing w:val="20"/>
                <w:sz w:val="24"/>
              </w:rPr>
            </w:pPr>
            <w:r>
              <w:rPr>
                <w:rFonts w:hint="eastAsia" w:ascii="仿宋" w:hAnsi="仿宋" w:eastAsia="仿宋"/>
                <w:bCs/>
                <w:sz w:val="24"/>
              </w:rPr>
              <w:t>总学时</w:t>
            </w:r>
          </w:p>
        </w:tc>
        <w:tc>
          <w:tcPr>
            <w:tcW w:w="1100" w:type="dxa"/>
            <w:vAlign w:val="center"/>
          </w:tcPr>
          <w:p w14:paraId="4FF8F8B9">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理论</w:t>
            </w:r>
          </w:p>
          <w:p w14:paraId="1D6AA6DA">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pacing w:val="20"/>
                <w:sz w:val="24"/>
              </w:rPr>
            </w:pPr>
            <w:r>
              <w:rPr>
                <w:rFonts w:hint="eastAsia" w:ascii="仿宋" w:hAnsi="仿宋" w:eastAsia="仿宋"/>
                <w:bCs/>
                <w:sz w:val="24"/>
              </w:rPr>
              <w:t>学时</w:t>
            </w:r>
          </w:p>
        </w:tc>
        <w:tc>
          <w:tcPr>
            <w:tcW w:w="977" w:type="dxa"/>
            <w:vAlign w:val="center"/>
          </w:tcPr>
          <w:p w14:paraId="1F8FC447">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实践</w:t>
            </w:r>
          </w:p>
          <w:p w14:paraId="69698B6B">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pacing w:val="20"/>
                <w:sz w:val="24"/>
              </w:rPr>
            </w:pPr>
            <w:r>
              <w:rPr>
                <w:rFonts w:hint="eastAsia" w:ascii="仿宋" w:hAnsi="仿宋" w:eastAsia="仿宋"/>
                <w:bCs/>
                <w:sz w:val="24"/>
              </w:rPr>
              <w:t>学时</w:t>
            </w:r>
          </w:p>
        </w:tc>
        <w:tc>
          <w:tcPr>
            <w:tcW w:w="1489" w:type="dxa"/>
            <w:vMerge w:val="continue"/>
            <w:vAlign w:val="center"/>
          </w:tcPr>
          <w:p w14:paraId="1116677C">
            <w:pPr>
              <w:keepNext w:val="0"/>
              <w:keepLines w:val="0"/>
              <w:pageBreakBefore w:val="0"/>
              <w:widowControl/>
              <w:kinsoku/>
              <w:wordWrap/>
              <w:overflowPunct/>
              <w:topLinePunct w:val="0"/>
              <w:autoSpaceDE/>
              <w:autoSpaceDN/>
              <w:bidi w:val="0"/>
              <w:spacing w:line="360" w:lineRule="auto"/>
              <w:ind w:firstLine="562" w:firstLineChars="200"/>
              <w:jc w:val="center"/>
              <w:textAlignment w:val="auto"/>
              <w:rPr>
                <w:rFonts w:hint="eastAsia" w:ascii="仿宋" w:hAnsi="仿宋" w:eastAsia="仿宋"/>
                <w:b/>
                <w:spacing w:val="20"/>
                <w:sz w:val="24"/>
              </w:rPr>
            </w:pPr>
          </w:p>
        </w:tc>
        <w:tc>
          <w:tcPr>
            <w:tcW w:w="1731" w:type="dxa"/>
            <w:vMerge w:val="continue"/>
            <w:vAlign w:val="center"/>
          </w:tcPr>
          <w:p w14:paraId="238CAAD5">
            <w:pPr>
              <w:keepNext w:val="0"/>
              <w:keepLines w:val="0"/>
              <w:pageBreakBefore w:val="0"/>
              <w:widowControl/>
              <w:kinsoku/>
              <w:wordWrap/>
              <w:overflowPunct/>
              <w:topLinePunct w:val="0"/>
              <w:autoSpaceDE/>
              <w:autoSpaceDN/>
              <w:bidi w:val="0"/>
              <w:spacing w:line="360" w:lineRule="auto"/>
              <w:ind w:firstLine="502" w:firstLineChars="200"/>
              <w:jc w:val="center"/>
              <w:textAlignment w:val="auto"/>
              <w:rPr>
                <w:rFonts w:hint="eastAsia" w:ascii="仿宋" w:hAnsi="仿宋" w:eastAsia="仿宋"/>
                <w:b/>
                <w:spacing w:val="20"/>
                <w:szCs w:val="21"/>
              </w:rPr>
            </w:pPr>
          </w:p>
        </w:tc>
      </w:tr>
      <w:tr w14:paraId="1E0C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36E973C5">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lang w:val="en-US" w:eastAsia="zh-CN"/>
              </w:rPr>
              <w:t>1</w:t>
            </w:r>
            <w:r>
              <w:rPr>
                <w:rFonts w:hint="eastAsia" w:ascii="仿宋" w:hAnsi="仿宋" w:eastAsia="仿宋"/>
                <w:bCs/>
                <w:sz w:val="24"/>
              </w:rPr>
              <w:t>1</w:t>
            </w:r>
          </w:p>
        </w:tc>
        <w:tc>
          <w:tcPr>
            <w:tcW w:w="2739" w:type="dxa"/>
            <w:gridSpan w:val="2"/>
            <w:vAlign w:val="center"/>
          </w:tcPr>
          <w:p w14:paraId="350B15B3">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集成电路导论</w:t>
            </w:r>
          </w:p>
        </w:tc>
        <w:tc>
          <w:tcPr>
            <w:tcW w:w="1044" w:type="dxa"/>
            <w:vAlign w:val="center"/>
          </w:tcPr>
          <w:p w14:paraId="054C324C">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2</w:t>
            </w:r>
          </w:p>
        </w:tc>
        <w:tc>
          <w:tcPr>
            <w:tcW w:w="1256" w:type="dxa"/>
            <w:vAlign w:val="center"/>
          </w:tcPr>
          <w:p w14:paraId="57323EE9">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32</w:t>
            </w:r>
          </w:p>
        </w:tc>
        <w:tc>
          <w:tcPr>
            <w:tcW w:w="1100" w:type="dxa"/>
            <w:vAlign w:val="center"/>
          </w:tcPr>
          <w:p w14:paraId="3DA45E6A">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32</w:t>
            </w:r>
          </w:p>
        </w:tc>
        <w:tc>
          <w:tcPr>
            <w:tcW w:w="977" w:type="dxa"/>
            <w:vAlign w:val="center"/>
          </w:tcPr>
          <w:p w14:paraId="65C6E651">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0</w:t>
            </w:r>
          </w:p>
        </w:tc>
        <w:tc>
          <w:tcPr>
            <w:tcW w:w="1489" w:type="dxa"/>
            <w:vAlign w:val="center"/>
          </w:tcPr>
          <w:p w14:paraId="1A7E9B27">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混合</w:t>
            </w:r>
          </w:p>
        </w:tc>
        <w:tc>
          <w:tcPr>
            <w:tcW w:w="1731" w:type="dxa"/>
            <w:vAlign w:val="center"/>
          </w:tcPr>
          <w:p w14:paraId="0612E5F6">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微专业一</w:t>
            </w:r>
          </w:p>
        </w:tc>
      </w:tr>
      <w:tr w14:paraId="1F3F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BB17EEA">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lang w:val="en-US" w:eastAsia="zh-CN"/>
              </w:rPr>
              <w:t>2</w:t>
            </w:r>
            <w:r>
              <w:rPr>
                <w:rFonts w:hint="eastAsia" w:ascii="仿宋" w:hAnsi="仿宋" w:eastAsia="仿宋"/>
                <w:bCs/>
                <w:sz w:val="24"/>
              </w:rPr>
              <w:t>2</w:t>
            </w:r>
          </w:p>
        </w:tc>
        <w:tc>
          <w:tcPr>
            <w:tcW w:w="2739" w:type="dxa"/>
            <w:gridSpan w:val="2"/>
            <w:vAlign w:val="center"/>
          </w:tcPr>
          <w:p w14:paraId="135EB772">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集成电路装备概论</w:t>
            </w:r>
          </w:p>
        </w:tc>
        <w:tc>
          <w:tcPr>
            <w:tcW w:w="1044" w:type="dxa"/>
            <w:vAlign w:val="center"/>
          </w:tcPr>
          <w:p w14:paraId="33B03B33">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2</w:t>
            </w:r>
          </w:p>
        </w:tc>
        <w:tc>
          <w:tcPr>
            <w:tcW w:w="1256" w:type="dxa"/>
            <w:vAlign w:val="center"/>
          </w:tcPr>
          <w:p w14:paraId="0ADBE281">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32</w:t>
            </w:r>
          </w:p>
        </w:tc>
        <w:tc>
          <w:tcPr>
            <w:tcW w:w="1100" w:type="dxa"/>
            <w:vAlign w:val="center"/>
          </w:tcPr>
          <w:p w14:paraId="308D3393">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32</w:t>
            </w:r>
          </w:p>
        </w:tc>
        <w:tc>
          <w:tcPr>
            <w:tcW w:w="977" w:type="dxa"/>
            <w:vAlign w:val="center"/>
          </w:tcPr>
          <w:p w14:paraId="34005789">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0</w:t>
            </w:r>
          </w:p>
        </w:tc>
        <w:tc>
          <w:tcPr>
            <w:tcW w:w="1489" w:type="dxa"/>
            <w:vAlign w:val="center"/>
          </w:tcPr>
          <w:p w14:paraId="0C2AE10A">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混合</w:t>
            </w:r>
          </w:p>
        </w:tc>
        <w:tc>
          <w:tcPr>
            <w:tcW w:w="1731" w:type="dxa"/>
            <w:vAlign w:val="center"/>
          </w:tcPr>
          <w:p w14:paraId="6407EDEF">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微专业一</w:t>
            </w:r>
          </w:p>
        </w:tc>
      </w:tr>
      <w:tr w14:paraId="75818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F3EC007">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lang w:val="en-US" w:eastAsia="zh-CN"/>
              </w:rPr>
              <w:t>3</w:t>
            </w:r>
            <w:r>
              <w:rPr>
                <w:rFonts w:hint="eastAsia" w:ascii="仿宋" w:hAnsi="仿宋" w:eastAsia="仿宋"/>
                <w:bCs/>
                <w:sz w:val="24"/>
              </w:rPr>
              <w:t>3</w:t>
            </w:r>
          </w:p>
        </w:tc>
        <w:tc>
          <w:tcPr>
            <w:tcW w:w="2739" w:type="dxa"/>
            <w:gridSpan w:val="2"/>
            <w:vAlign w:val="center"/>
          </w:tcPr>
          <w:p w14:paraId="5559B644">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cs="Arial"/>
                <w:color w:val="000000"/>
                <w:sz w:val="24"/>
              </w:rPr>
              <w:t>工程光学</w:t>
            </w:r>
          </w:p>
        </w:tc>
        <w:tc>
          <w:tcPr>
            <w:tcW w:w="1044" w:type="dxa"/>
            <w:vAlign w:val="center"/>
          </w:tcPr>
          <w:p w14:paraId="6DB233EE">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2</w:t>
            </w:r>
          </w:p>
        </w:tc>
        <w:tc>
          <w:tcPr>
            <w:tcW w:w="1256" w:type="dxa"/>
            <w:vAlign w:val="center"/>
          </w:tcPr>
          <w:p w14:paraId="687F1A82">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32</w:t>
            </w:r>
          </w:p>
        </w:tc>
        <w:tc>
          <w:tcPr>
            <w:tcW w:w="1100" w:type="dxa"/>
            <w:vAlign w:val="center"/>
          </w:tcPr>
          <w:p w14:paraId="6F28E08A">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24</w:t>
            </w:r>
          </w:p>
        </w:tc>
        <w:tc>
          <w:tcPr>
            <w:tcW w:w="977" w:type="dxa"/>
            <w:vAlign w:val="center"/>
          </w:tcPr>
          <w:p w14:paraId="0E3AFCE1">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8</w:t>
            </w:r>
          </w:p>
        </w:tc>
        <w:tc>
          <w:tcPr>
            <w:tcW w:w="1489" w:type="dxa"/>
            <w:vAlign w:val="center"/>
          </w:tcPr>
          <w:p w14:paraId="08040933">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混合</w:t>
            </w:r>
          </w:p>
        </w:tc>
        <w:tc>
          <w:tcPr>
            <w:tcW w:w="1731" w:type="dxa"/>
            <w:vAlign w:val="center"/>
          </w:tcPr>
          <w:p w14:paraId="1DE1AB9E">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微专业一</w:t>
            </w:r>
          </w:p>
        </w:tc>
      </w:tr>
      <w:tr w14:paraId="11E9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5443858">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lang w:val="en-US" w:eastAsia="zh-CN"/>
              </w:rPr>
              <w:t>4</w:t>
            </w:r>
            <w:r>
              <w:rPr>
                <w:rFonts w:hint="eastAsia" w:ascii="仿宋" w:hAnsi="仿宋" w:eastAsia="仿宋"/>
                <w:bCs/>
                <w:sz w:val="24"/>
              </w:rPr>
              <w:t>4</w:t>
            </w:r>
          </w:p>
        </w:tc>
        <w:tc>
          <w:tcPr>
            <w:tcW w:w="2739" w:type="dxa"/>
            <w:gridSpan w:val="2"/>
            <w:vAlign w:val="center"/>
          </w:tcPr>
          <w:p w14:paraId="25322C29">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cs="Arial"/>
                <w:color w:val="000000"/>
                <w:sz w:val="24"/>
              </w:rPr>
              <w:t>光学精密加工技术</w:t>
            </w:r>
          </w:p>
        </w:tc>
        <w:tc>
          <w:tcPr>
            <w:tcW w:w="1044" w:type="dxa"/>
            <w:vAlign w:val="center"/>
          </w:tcPr>
          <w:p w14:paraId="10D4F079">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2</w:t>
            </w:r>
          </w:p>
        </w:tc>
        <w:tc>
          <w:tcPr>
            <w:tcW w:w="1256" w:type="dxa"/>
            <w:vAlign w:val="center"/>
          </w:tcPr>
          <w:p w14:paraId="541A01AF">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32</w:t>
            </w:r>
          </w:p>
        </w:tc>
        <w:tc>
          <w:tcPr>
            <w:tcW w:w="1100" w:type="dxa"/>
            <w:vAlign w:val="center"/>
          </w:tcPr>
          <w:p w14:paraId="04BF8B77">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16</w:t>
            </w:r>
          </w:p>
        </w:tc>
        <w:tc>
          <w:tcPr>
            <w:tcW w:w="977" w:type="dxa"/>
            <w:vAlign w:val="center"/>
          </w:tcPr>
          <w:p w14:paraId="4356157E">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16</w:t>
            </w:r>
          </w:p>
        </w:tc>
        <w:tc>
          <w:tcPr>
            <w:tcW w:w="1489" w:type="dxa"/>
            <w:vAlign w:val="center"/>
          </w:tcPr>
          <w:p w14:paraId="588364A1">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混合</w:t>
            </w:r>
          </w:p>
        </w:tc>
        <w:tc>
          <w:tcPr>
            <w:tcW w:w="1731" w:type="dxa"/>
            <w:vAlign w:val="center"/>
          </w:tcPr>
          <w:p w14:paraId="43B856DF">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微专业二</w:t>
            </w:r>
          </w:p>
        </w:tc>
      </w:tr>
      <w:tr w14:paraId="74DF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4365385D">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lang w:val="en-US" w:eastAsia="zh-CN"/>
              </w:rPr>
              <w:t>5</w:t>
            </w:r>
            <w:r>
              <w:rPr>
                <w:rFonts w:hint="eastAsia" w:ascii="仿宋" w:hAnsi="仿宋" w:eastAsia="仿宋"/>
                <w:bCs/>
                <w:sz w:val="24"/>
              </w:rPr>
              <w:t>5</w:t>
            </w:r>
          </w:p>
        </w:tc>
        <w:tc>
          <w:tcPr>
            <w:tcW w:w="2739" w:type="dxa"/>
            <w:gridSpan w:val="2"/>
            <w:vAlign w:val="center"/>
          </w:tcPr>
          <w:p w14:paraId="1D301A5C">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cs="Arial"/>
                <w:color w:val="000000"/>
                <w:sz w:val="24"/>
              </w:rPr>
              <w:t>光学表面处理与精密测试</w:t>
            </w:r>
          </w:p>
        </w:tc>
        <w:tc>
          <w:tcPr>
            <w:tcW w:w="1044" w:type="dxa"/>
            <w:vAlign w:val="center"/>
          </w:tcPr>
          <w:p w14:paraId="596FF557">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2</w:t>
            </w:r>
          </w:p>
        </w:tc>
        <w:tc>
          <w:tcPr>
            <w:tcW w:w="1256" w:type="dxa"/>
            <w:vAlign w:val="center"/>
          </w:tcPr>
          <w:p w14:paraId="3723F41B">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32</w:t>
            </w:r>
          </w:p>
        </w:tc>
        <w:tc>
          <w:tcPr>
            <w:tcW w:w="1100" w:type="dxa"/>
            <w:vAlign w:val="center"/>
          </w:tcPr>
          <w:p w14:paraId="7958800E">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16</w:t>
            </w:r>
          </w:p>
        </w:tc>
        <w:tc>
          <w:tcPr>
            <w:tcW w:w="977" w:type="dxa"/>
            <w:vAlign w:val="center"/>
          </w:tcPr>
          <w:p w14:paraId="53358788">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16</w:t>
            </w:r>
          </w:p>
        </w:tc>
        <w:tc>
          <w:tcPr>
            <w:tcW w:w="1489" w:type="dxa"/>
            <w:vAlign w:val="center"/>
          </w:tcPr>
          <w:p w14:paraId="479D3C5B">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混合</w:t>
            </w:r>
          </w:p>
        </w:tc>
        <w:tc>
          <w:tcPr>
            <w:tcW w:w="1731" w:type="dxa"/>
            <w:vAlign w:val="center"/>
          </w:tcPr>
          <w:p w14:paraId="762141A0">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微专业二</w:t>
            </w:r>
          </w:p>
        </w:tc>
      </w:tr>
      <w:tr w14:paraId="4117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tcBorders>
              <w:bottom w:val="single" w:color="auto" w:sz="4" w:space="0"/>
            </w:tcBorders>
            <w:vAlign w:val="center"/>
          </w:tcPr>
          <w:p w14:paraId="116CFC7C">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p>
        </w:tc>
        <w:tc>
          <w:tcPr>
            <w:tcW w:w="2739" w:type="dxa"/>
            <w:gridSpan w:val="2"/>
            <w:tcBorders>
              <w:bottom w:val="single" w:color="auto" w:sz="4" w:space="0"/>
            </w:tcBorders>
            <w:vAlign w:val="center"/>
          </w:tcPr>
          <w:p w14:paraId="1D1EEED3">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合计</w:t>
            </w:r>
          </w:p>
        </w:tc>
        <w:tc>
          <w:tcPr>
            <w:tcW w:w="1044" w:type="dxa"/>
            <w:tcBorders>
              <w:bottom w:val="single" w:color="auto" w:sz="4" w:space="0"/>
            </w:tcBorders>
            <w:vAlign w:val="center"/>
          </w:tcPr>
          <w:p w14:paraId="46BCDCF5">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10</w:t>
            </w:r>
          </w:p>
        </w:tc>
        <w:tc>
          <w:tcPr>
            <w:tcW w:w="1256" w:type="dxa"/>
            <w:tcBorders>
              <w:bottom w:val="single" w:color="auto" w:sz="4" w:space="0"/>
            </w:tcBorders>
            <w:vAlign w:val="center"/>
          </w:tcPr>
          <w:p w14:paraId="567587B5">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160</w:t>
            </w:r>
          </w:p>
        </w:tc>
        <w:tc>
          <w:tcPr>
            <w:tcW w:w="1100" w:type="dxa"/>
            <w:tcBorders>
              <w:bottom w:val="single" w:color="auto" w:sz="4" w:space="0"/>
            </w:tcBorders>
            <w:vAlign w:val="center"/>
          </w:tcPr>
          <w:p w14:paraId="75E40963">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120</w:t>
            </w:r>
          </w:p>
        </w:tc>
        <w:tc>
          <w:tcPr>
            <w:tcW w:w="977" w:type="dxa"/>
            <w:tcBorders>
              <w:bottom w:val="single" w:color="auto" w:sz="4" w:space="0"/>
            </w:tcBorders>
            <w:vAlign w:val="center"/>
          </w:tcPr>
          <w:p w14:paraId="4849049D">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r>
              <w:rPr>
                <w:rFonts w:hint="eastAsia" w:ascii="仿宋" w:hAnsi="仿宋" w:eastAsia="仿宋"/>
                <w:bCs/>
                <w:sz w:val="24"/>
              </w:rPr>
              <w:t>40</w:t>
            </w:r>
          </w:p>
        </w:tc>
        <w:tc>
          <w:tcPr>
            <w:tcW w:w="1489" w:type="dxa"/>
            <w:tcBorders>
              <w:bottom w:val="single" w:color="auto" w:sz="4" w:space="0"/>
            </w:tcBorders>
            <w:vAlign w:val="center"/>
          </w:tcPr>
          <w:p w14:paraId="3442D95F">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rPr>
            </w:pPr>
          </w:p>
        </w:tc>
        <w:tc>
          <w:tcPr>
            <w:tcW w:w="1731" w:type="dxa"/>
            <w:tcBorders>
              <w:bottom w:val="single" w:color="auto" w:sz="4" w:space="0"/>
            </w:tcBorders>
            <w:vAlign w:val="center"/>
          </w:tcPr>
          <w:p w14:paraId="0399DF4B">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eastAsia" w:ascii="仿宋" w:hAnsi="仿宋" w:eastAsia="仿宋"/>
                <w:bCs/>
                <w:sz w:val="24"/>
                <w:highlight w:val="yellow"/>
              </w:rPr>
            </w:pPr>
          </w:p>
        </w:tc>
      </w:tr>
      <w:tr w14:paraId="0755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gridSpan w:val="2"/>
            <w:vMerge w:val="restart"/>
            <w:tcBorders>
              <w:top w:val="single" w:color="auto" w:sz="4" w:space="0"/>
            </w:tcBorders>
            <w:vAlign w:val="center"/>
          </w:tcPr>
          <w:p w14:paraId="4C4D3024">
            <w:pPr>
              <w:keepNext w:val="0"/>
              <w:keepLines w:val="0"/>
              <w:pageBreakBefore w:val="0"/>
              <w:widowControl/>
              <w:kinsoku/>
              <w:wordWrap/>
              <w:overflowPunct/>
              <w:topLinePunct w:val="0"/>
              <w:autoSpaceDE/>
              <w:autoSpaceDN/>
              <w:bidi w:val="0"/>
              <w:spacing w:line="360" w:lineRule="auto"/>
              <w:ind w:firstLine="562" w:firstLineChars="200"/>
              <w:textAlignment w:val="auto"/>
              <w:rPr>
                <w:rFonts w:hint="eastAsia" w:ascii="仿宋" w:hAnsi="仿宋" w:eastAsia="仿宋"/>
                <w:b/>
                <w:spacing w:val="20"/>
                <w:sz w:val="24"/>
              </w:rPr>
            </w:pPr>
            <w:bookmarkStart w:id="0" w:name="_GoBack" w:colFirst="0" w:colLast="1"/>
            <w:r>
              <w:rPr>
                <w:rFonts w:hint="eastAsia" w:ascii="仿宋" w:hAnsi="仿宋" w:eastAsia="仿宋"/>
                <w:b/>
                <w:spacing w:val="20"/>
                <w:sz w:val="24"/>
              </w:rPr>
              <w:t>课程</w:t>
            </w:r>
          </w:p>
          <w:p w14:paraId="483CB3B6">
            <w:pPr>
              <w:keepNext w:val="0"/>
              <w:keepLines w:val="0"/>
              <w:pageBreakBefore w:val="0"/>
              <w:widowControl/>
              <w:kinsoku/>
              <w:wordWrap/>
              <w:overflowPunct/>
              <w:topLinePunct w:val="0"/>
              <w:autoSpaceDE/>
              <w:autoSpaceDN/>
              <w:bidi w:val="0"/>
              <w:spacing w:line="360" w:lineRule="auto"/>
              <w:ind w:firstLine="562" w:firstLineChars="200"/>
              <w:textAlignment w:val="auto"/>
              <w:rPr>
                <w:rFonts w:hint="eastAsia" w:ascii="仿宋" w:hAnsi="仿宋" w:eastAsia="仿宋"/>
                <w:b/>
                <w:spacing w:val="20"/>
                <w:sz w:val="24"/>
              </w:rPr>
            </w:pPr>
            <w:r>
              <w:rPr>
                <w:rFonts w:hint="eastAsia" w:ascii="仿宋" w:hAnsi="仿宋" w:eastAsia="仿宋"/>
                <w:b/>
                <w:spacing w:val="20"/>
                <w:sz w:val="24"/>
              </w:rPr>
              <w:t>简介</w:t>
            </w:r>
          </w:p>
        </w:tc>
        <w:tc>
          <w:tcPr>
            <w:tcW w:w="9207" w:type="dxa"/>
            <w:gridSpan w:val="7"/>
            <w:tcBorders>
              <w:top w:val="single" w:color="auto" w:sz="4" w:space="0"/>
            </w:tcBorders>
          </w:tcPr>
          <w:p w14:paraId="5BC736C4">
            <w:pPr>
              <w:keepNext w:val="0"/>
              <w:keepLines w:val="0"/>
              <w:pageBreakBefore w:val="0"/>
              <w:widowControl/>
              <w:kinsoku/>
              <w:wordWrap/>
              <w:overflowPunct/>
              <w:topLinePunct w:val="0"/>
              <w:autoSpaceDE/>
              <w:autoSpaceDN/>
              <w:bidi w:val="0"/>
              <w:spacing w:line="360" w:lineRule="auto"/>
              <w:ind w:firstLine="482" w:firstLineChars="200"/>
              <w:textAlignment w:val="auto"/>
              <w:rPr>
                <w:rFonts w:hint="eastAsia" w:ascii="仿宋" w:hAnsi="仿宋" w:eastAsia="仿宋"/>
                <w:b/>
                <w:sz w:val="24"/>
              </w:rPr>
            </w:pPr>
            <w:r>
              <w:rPr>
                <w:rFonts w:hint="eastAsia" w:ascii="仿宋" w:hAnsi="仿宋" w:eastAsia="仿宋"/>
                <w:b/>
                <w:sz w:val="24"/>
              </w:rPr>
              <w:t>课程1：集成电路导论</w:t>
            </w:r>
          </w:p>
          <w:p w14:paraId="2AC94B2B">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eastAsia" w:ascii="仿宋" w:hAnsi="仿宋" w:eastAsia="仿宋"/>
                <w:b/>
                <w:sz w:val="24"/>
              </w:rPr>
            </w:pPr>
            <w:r>
              <w:rPr>
                <w:rFonts w:ascii="仿宋" w:hAnsi="仿宋" w:eastAsia="仿宋"/>
                <w:bCs/>
                <w:sz w:val="24"/>
              </w:rPr>
              <w:t>集成电路导论课程旨在介绍集成电路学科的最新发展和前沿领域。通过本课程的学习，有助于学生了解微电子技术的发展历史，掌握基本原理和工艺过程等基本知识。对生活中微电子技术的应用和原理介绍，帮助学生观察和体验生活中微电子科研设备。增进学生自我主动学习，扩展学生能力，积极了解相关技术的前沿动态。</w:t>
            </w:r>
          </w:p>
        </w:tc>
      </w:tr>
      <w:bookmarkEnd w:id="0"/>
      <w:tr w14:paraId="6830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gridSpan w:val="2"/>
            <w:vMerge w:val="continue"/>
            <w:tcBorders/>
            <w:vAlign w:val="center"/>
          </w:tcPr>
          <w:p w14:paraId="76493293">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eastAsia" w:ascii="仿宋" w:hAnsi="仿宋" w:eastAsia="仿宋"/>
                <w:bCs/>
                <w:sz w:val="24"/>
              </w:rPr>
            </w:pPr>
          </w:p>
        </w:tc>
        <w:tc>
          <w:tcPr>
            <w:tcW w:w="9207" w:type="dxa"/>
            <w:gridSpan w:val="7"/>
          </w:tcPr>
          <w:p w14:paraId="71261714">
            <w:pPr>
              <w:keepNext w:val="0"/>
              <w:keepLines w:val="0"/>
              <w:pageBreakBefore w:val="0"/>
              <w:widowControl/>
              <w:kinsoku/>
              <w:wordWrap/>
              <w:overflowPunct/>
              <w:topLinePunct w:val="0"/>
              <w:autoSpaceDE/>
              <w:autoSpaceDN/>
              <w:bidi w:val="0"/>
              <w:spacing w:line="360" w:lineRule="auto"/>
              <w:ind w:firstLine="482" w:firstLineChars="200"/>
              <w:textAlignment w:val="auto"/>
              <w:rPr>
                <w:rFonts w:hint="eastAsia" w:ascii="仿宋" w:hAnsi="仿宋" w:eastAsia="仿宋"/>
                <w:b/>
                <w:sz w:val="24"/>
              </w:rPr>
            </w:pPr>
            <w:r>
              <w:rPr>
                <w:rFonts w:hint="eastAsia" w:ascii="仿宋" w:hAnsi="仿宋" w:eastAsia="仿宋"/>
                <w:b/>
                <w:sz w:val="24"/>
              </w:rPr>
              <w:t>课程2：集成电路装备概论</w:t>
            </w:r>
          </w:p>
          <w:p w14:paraId="6BBA6139">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eastAsia" w:ascii="仿宋" w:hAnsi="仿宋" w:eastAsia="仿宋"/>
                <w:bCs/>
                <w:sz w:val="24"/>
              </w:rPr>
            </w:pPr>
            <w:r>
              <w:rPr>
                <w:rFonts w:ascii="仿宋" w:hAnsi="仿宋" w:eastAsia="仿宋"/>
                <w:bCs/>
                <w:sz w:val="24"/>
              </w:rPr>
              <w:t>课程旨在系统介绍支撑半导体产业发展的工业设备及其前沿技术。通过本课程的学习，有助于学生深入了解集成电路中从晶圆加工前端到封装测试后端的全产业链设备体系，重点涵盖光刻、刻蚀、薄膜沉积、离子注入、清洗、CMP、氧化扩散等前端制造关键装备，以及减薄划片、引线键合、塑封等封装装备，和探针台、分选机、测试机等检测装备在内的多类基础设备的基本原理与工艺架构。课程通过对各装备在实际生产中应用逻辑的解析，帮助学生观察和体验微电子科研与工业生产中的专业硬件环境。增进学生对复杂工程问题的跨学科思考能力，扩展专业视野，积极引导学生关注国产半导体装备的自主攻坚动态与国际前沿技术趋势。</w:t>
            </w:r>
          </w:p>
        </w:tc>
      </w:tr>
      <w:tr w14:paraId="6A7C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gridSpan w:val="2"/>
            <w:vMerge w:val="continue"/>
            <w:tcBorders/>
            <w:vAlign w:val="center"/>
          </w:tcPr>
          <w:p w14:paraId="2E8114B6">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eastAsia" w:ascii="仿宋" w:hAnsi="仿宋" w:eastAsia="仿宋"/>
                <w:bCs/>
                <w:sz w:val="24"/>
              </w:rPr>
            </w:pPr>
          </w:p>
        </w:tc>
        <w:tc>
          <w:tcPr>
            <w:tcW w:w="9207" w:type="dxa"/>
            <w:gridSpan w:val="7"/>
          </w:tcPr>
          <w:p w14:paraId="22895C98">
            <w:pPr>
              <w:keepNext w:val="0"/>
              <w:keepLines w:val="0"/>
              <w:pageBreakBefore w:val="0"/>
              <w:widowControl/>
              <w:kinsoku/>
              <w:wordWrap/>
              <w:overflowPunct/>
              <w:topLinePunct w:val="0"/>
              <w:autoSpaceDE/>
              <w:autoSpaceDN/>
              <w:bidi w:val="0"/>
              <w:spacing w:line="360" w:lineRule="auto"/>
              <w:ind w:firstLine="482" w:firstLineChars="200"/>
              <w:textAlignment w:val="auto"/>
              <w:rPr>
                <w:rFonts w:hint="eastAsia" w:ascii="仿宋" w:hAnsi="仿宋" w:eastAsia="仿宋"/>
                <w:b/>
                <w:sz w:val="24"/>
              </w:rPr>
            </w:pPr>
            <w:r>
              <w:rPr>
                <w:rFonts w:hint="eastAsia" w:ascii="仿宋" w:hAnsi="仿宋" w:eastAsia="仿宋"/>
                <w:b/>
                <w:sz w:val="24"/>
              </w:rPr>
              <w:t>课程3：</w:t>
            </w:r>
            <w:r>
              <w:rPr>
                <w:rFonts w:ascii="仿宋" w:hAnsi="仿宋" w:eastAsia="仿宋" w:cs="Arial"/>
                <w:b/>
                <w:bCs/>
                <w:color w:val="000000"/>
                <w:sz w:val="24"/>
              </w:rPr>
              <w:t>工程光学</w:t>
            </w:r>
          </w:p>
          <w:p w14:paraId="03AEF868">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eastAsia" w:ascii="仿宋" w:hAnsi="仿宋" w:eastAsia="仿宋"/>
                <w:bCs/>
                <w:sz w:val="24"/>
              </w:rPr>
            </w:pPr>
            <w:r>
              <w:rPr>
                <w:rFonts w:hint="eastAsia" w:ascii="仿宋" w:hAnsi="仿宋" w:eastAsia="仿宋"/>
                <w:bCs/>
                <w:sz w:val="24"/>
              </w:rPr>
              <w:t>本课程面向光机制造与精密检测方向学生，从"波前"这一统一物理语言出发，系统讲授几何光学、波动光学、像差理论、傅里叶光学及干涉计量的核心原理。课程聚焦高端装备镜片等极端光学元件对亚纳米级面形与波前精度的需求，舍弃复杂光学系统设计内容，强化像差的Zernike描述、空间频率分析、衍射极限约束及干涉测量物理。旨在为非光学背景学生建立与光学工程人员对话的理论基础，使其能够阅读波前检测报告、理解面形评价指标，并为后续加工与检测课程奠定必要的光学物理框架。</w:t>
            </w:r>
          </w:p>
        </w:tc>
      </w:tr>
      <w:tr w14:paraId="68586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gridSpan w:val="2"/>
            <w:vMerge w:val="continue"/>
            <w:tcBorders/>
            <w:vAlign w:val="center"/>
          </w:tcPr>
          <w:p w14:paraId="419D67C9">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eastAsia" w:ascii="仿宋" w:hAnsi="仿宋" w:eastAsia="仿宋"/>
                <w:bCs/>
                <w:sz w:val="24"/>
              </w:rPr>
            </w:pPr>
          </w:p>
        </w:tc>
        <w:tc>
          <w:tcPr>
            <w:tcW w:w="9207" w:type="dxa"/>
            <w:gridSpan w:val="7"/>
          </w:tcPr>
          <w:p w14:paraId="17660CED">
            <w:pPr>
              <w:keepNext w:val="0"/>
              <w:keepLines w:val="0"/>
              <w:pageBreakBefore w:val="0"/>
              <w:widowControl/>
              <w:kinsoku/>
              <w:wordWrap/>
              <w:overflowPunct/>
              <w:topLinePunct w:val="0"/>
              <w:autoSpaceDE/>
              <w:autoSpaceDN/>
              <w:bidi w:val="0"/>
              <w:spacing w:line="360" w:lineRule="auto"/>
              <w:ind w:firstLine="482" w:firstLineChars="200"/>
              <w:textAlignment w:val="auto"/>
              <w:rPr>
                <w:rFonts w:hint="eastAsia" w:ascii="仿宋" w:hAnsi="仿宋" w:eastAsia="仿宋"/>
                <w:b/>
                <w:sz w:val="24"/>
              </w:rPr>
            </w:pPr>
            <w:r>
              <w:rPr>
                <w:rFonts w:hint="eastAsia" w:ascii="仿宋" w:hAnsi="仿宋" w:eastAsia="仿宋"/>
                <w:b/>
                <w:sz w:val="24"/>
              </w:rPr>
              <w:t>课程4：</w:t>
            </w:r>
            <w:r>
              <w:rPr>
                <w:rFonts w:hint="eastAsia" w:ascii="仿宋" w:hAnsi="仿宋" w:eastAsia="仿宋" w:cs="Arial"/>
                <w:b/>
                <w:bCs/>
                <w:color w:val="000000"/>
                <w:sz w:val="24"/>
              </w:rPr>
              <w:t>光学精密加工技术</w:t>
            </w:r>
          </w:p>
          <w:p w14:paraId="4107EE94">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eastAsia" w:ascii="仿宋" w:hAnsi="仿宋" w:eastAsia="仿宋"/>
                <w:bCs/>
                <w:sz w:val="24"/>
              </w:rPr>
            </w:pPr>
            <w:r>
              <w:rPr>
                <w:rFonts w:hint="eastAsia" w:ascii="仿宋" w:hAnsi="仿宋" w:eastAsia="仿宋"/>
                <w:bCs/>
                <w:sz w:val="24"/>
              </w:rPr>
              <w:t>本课程聚焦光学元件从毛坯到亚纳米级面形的精密成型过程，以投影物镜非球面镜片为典型对象，系统讲授数控研磨、计算机控制光学表面成型（CCOS）及先进确定性抛光技术的物理机理与工艺控制。课程强调材料去除的定量描述、驻留时间算法、中频波纹抑制及加工-检测闭环思想。通过实践环节，学生将操作或观测数控研磨、CCOS路径规划、磁流变抛光（MRF）等关键工艺，建立从工艺参数到面形误差的定量认知，培养光学制造领域的工艺分析与问题解决能力。</w:t>
            </w:r>
          </w:p>
        </w:tc>
      </w:tr>
      <w:tr w14:paraId="22AEF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gridSpan w:val="2"/>
            <w:vMerge w:val="continue"/>
            <w:tcBorders/>
            <w:vAlign w:val="center"/>
          </w:tcPr>
          <w:p w14:paraId="231A148A">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eastAsia" w:ascii="仿宋" w:hAnsi="仿宋" w:eastAsia="仿宋"/>
                <w:bCs/>
                <w:sz w:val="24"/>
              </w:rPr>
            </w:pPr>
          </w:p>
        </w:tc>
        <w:tc>
          <w:tcPr>
            <w:tcW w:w="9207" w:type="dxa"/>
            <w:gridSpan w:val="7"/>
          </w:tcPr>
          <w:p w14:paraId="6C4D0AA9">
            <w:pPr>
              <w:keepNext w:val="0"/>
              <w:keepLines w:val="0"/>
              <w:pageBreakBefore w:val="0"/>
              <w:widowControl/>
              <w:kinsoku/>
              <w:wordWrap/>
              <w:overflowPunct/>
              <w:topLinePunct w:val="0"/>
              <w:autoSpaceDE/>
              <w:autoSpaceDN/>
              <w:bidi w:val="0"/>
              <w:spacing w:line="360" w:lineRule="auto"/>
              <w:ind w:firstLine="482" w:firstLineChars="200"/>
              <w:textAlignment w:val="auto"/>
              <w:rPr>
                <w:rFonts w:hint="eastAsia" w:ascii="仿宋" w:hAnsi="仿宋" w:eastAsia="仿宋"/>
                <w:b/>
                <w:sz w:val="24"/>
              </w:rPr>
            </w:pPr>
            <w:r>
              <w:rPr>
                <w:rFonts w:hint="eastAsia" w:ascii="仿宋" w:hAnsi="仿宋" w:eastAsia="仿宋"/>
                <w:b/>
                <w:sz w:val="24"/>
              </w:rPr>
              <w:t>课程5：</w:t>
            </w:r>
            <w:r>
              <w:rPr>
                <w:rFonts w:hint="eastAsia" w:ascii="仿宋" w:hAnsi="仿宋" w:eastAsia="仿宋" w:cs="Arial"/>
                <w:b/>
                <w:bCs/>
                <w:color w:val="000000"/>
                <w:sz w:val="24"/>
              </w:rPr>
              <w:t>光学表面处理与精密测试</w:t>
            </w:r>
          </w:p>
          <w:p w14:paraId="280D5627">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eastAsia" w:ascii="仿宋" w:hAnsi="仿宋" w:eastAsia="仿宋"/>
                <w:bCs/>
                <w:sz w:val="24"/>
              </w:rPr>
            </w:pPr>
            <w:r>
              <w:rPr>
                <w:rFonts w:hint="eastAsia" w:ascii="仿宋" w:hAnsi="仿宋" w:eastAsia="仿宋"/>
                <w:bCs/>
                <w:sz w:val="24"/>
              </w:rPr>
              <w:t>本课程承接工程光学理论与光学精密加工技术，聚焦光学元件的表面功能改性与精度验证，围绕光机镜片对薄膜性能与亚纳米面形检测的极端需求展开。理论部分涵盖光学薄膜物理、制备工艺及干涉面形检测、粗糙度测试、光机装调等精密计量技术；实践部分通过薄膜制备与光谱监控、斐索干涉仪操作、白光干涉/原子力显微镜测量及系统波前检测等实验，使学生掌握从镀膜工艺到多尺度面形评价的完整技术链，建立"制备-检测-评价"的系统化工程能力。</w:t>
            </w:r>
          </w:p>
        </w:tc>
      </w:tr>
    </w:tbl>
    <w:p w14:paraId="55394CE4">
      <w:pPr>
        <w:keepNext w:val="0"/>
        <w:keepLines w:val="0"/>
        <w:pageBreakBefore w:val="0"/>
        <w:kinsoku/>
        <w:wordWrap/>
        <w:overflowPunct/>
        <w:topLinePunct w:val="0"/>
        <w:autoSpaceDE/>
        <w:autoSpaceDN/>
        <w:bidi w:val="0"/>
        <w:spacing w:line="360" w:lineRule="auto"/>
        <w:ind w:firstLine="420" w:firstLineChars="200"/>
        <w:textAlignment w:val="auto"/>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jWwNDIxNjQwMzY0NTBW0lEKTi0uzszPAykwNKgFADpJzMctAAAA"/>
  </w:docVars>
  <w:rsids>
    <w:rsidRoot w:val="0047616F"/>
    <w:rsid w:val="00090311"/>
    <w:rsid w:val="00097AEC"/>
    <w:rsid w:val="000F6E92"/>
    <w:rsid w:val="001752E0"/>
    <w:rsid w:val="001945F7"/>
    <w:rsid w:val="001E5607"/>
    <w:rsid w:val="00214F49"/>
    <w:rsid w:val="00241183"/>
    <w:rsid w:val="002F5C13"/>
    <w:rsid w:val="00320FE9"/>
    <w:rsid w:val="00370C19"/>
    <w:rsid w:val="00397E8A"/>
    <w:rsid w:val="003C3F3C"/>
    <w:rsid w:val="003D0114"/>
    <w:rsid w:val="00422264"/>
    <w:rsid w:val="004462E8"/>
    <w:rsid w:val="0047616F"/>
    <w:rsid w:val="004F1764"/>
    <w:rsid w:val="00500C74"/>
    <w:rsid w:val="0054773F"/>
    <w:rsid w:val="005601E4"/>
    <w:rsid w:val="00561FD3"/>
    <w:rsid w:val="00590325"/>
    <w:rsid w:val="005C4DBE"/>
    <w:rsid w:val="00670724"/>
    <w:rsid w:val="00676C90"/>
    <w:rsid w:val="0078576F"/>
    <w:rsid w:val="007B037E"/>
    <w:rsid w:val="007C6634"/>
    <w:rsid w:val="007D128F"/>
    <w:rsid w:val="00832D5A"/>
    <w:rsid w:val="00835F59"/>
    <w:rsid w:val="00870CC0"/>
    <w:rsid w:val="00941DC4"/>
    <w:rsid w:val="00952596"/>
    <w:rsid w:val="00963C09"/>
    <w:rsid w:val="009D5B84"/>
    <w:rsid w:val="00A337E0"/>
    <w:rsid w:val="00AD4308"/>
    <w:rsid w:val="00AF6603"/>
    <w:rsid w:val="00AF6BB8"/>
    <w:rsid w:val="00B72FC5"/>
    <w:rsid w:val="00B93148"/>
    <w:rsid w:val="00BC224B"/>
    <w:rsid w:val="00BC2DF6"/>
    <w:rsid w:val="00BF0A74"/>
    <w:rsid w:val="00C04D82"/>
    <w:rsid w:val="00C12079"/>
    <w:rsid w:val="00C9611F"/>
    <w:rsid w:val="00CD0481"/>
    <w:rsid w:val="00CE7B12"/>
    <w:rsid w:val="00CF3C0A"/>
    <w:rsid w:val="00E22CB5"/>
    <w:rsid w:val="00E912B7"/>
    <w:rsid w:val="00EB580F"/>
    <w:rsid w:val="00EE358E"/>
    <w:rsid w:val="00F759BB"/>
    <w:rsid w:val="00F879B5"/>
    <w:rsid w:val="00FC021C"/>
    <w:rsid w:val="194F5E74"/>
    <w:rsid w:val="1DDD7BC7"/>
    <w:rsid w:val="40E8793D"/>
    <w:rsid w:val="5C612B51"/>
    <w:rsid w:val="5D720C87"/>
    <w:rsid w:val="61196C1F"/>
    <w:rsid w:val="673204AE"/>
    <w:rsid w:val="6A2922A9"/>
    <w:rsid w:val="6CAC4148"/>
    <w:rsid w:val="730D7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Calibri" w:hAnsi="Calibri" w:eastAsia="宋体" w:cs="Times New Roman"/>
      <w:kern w:val="2"/>
      <w:sz w:val="21"/>
      <w:szCs w:val="24"/>
      <w:lang w:val="en-US" w:eastAsia="zh-CN" w:bidi="ar-SA"/>
      <w14:ligatures w14:val="none"/>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1"/>
    <w:unhideWhenUsed/>
    <w:qFormat/>
    <w:uiPriority w:val="99"/>
    <w:pPr>
      <w:jc w:val="left"/>
    </w:pPr>
  </w:style>
  <w:style w:type="paragraph" w:styleId="12">
    <w:name w:val="footer"/>
    <w:basedOn w:val="1"/>
    <w:link w:val="40"/>
    <w:unhideWhenUsed/>
    <w:qFormat/>
    <w:uiPriority w:val="99"/>
    <w:pPr>
      <w:tabs>
        <w:tab w:val="center" w:pos="4153"/>
        <w:tab w:val="right" w:pos="8306"/>
      </w:tabs>
      <w:snapToGrid w:val="0"/>
    </w:pPr>
    <w:rPr>
      <w:sz w:val="18"/>
      <w:szCs w:val="18"/>
    </w:rPr>
  </w:style>
  <w:style w:type="paragraph" w:styleId="13">
    <w:name w:val="header"/>
    <w:basedOn w:val="1"/>
    <w:link w:val="39"/>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2"/>
    <w:semiHidden/>
    <w:unhideWhenUsed/>
    <w:qFormat/>
    <w:uiPriority w:val="99"/>
    <w:rPr>
      <w:b/>
      <w:bCs/>
    </w:rPr>
  </w:style>
  <w:style w:type="character" w:styleId="19">
    <w:name w:val="Strong"/>
    <w:qFormat/>
    <w:uiPriority w:val="0"/>
    <w:rPr>
      <w:b/>
    </w:rPr>
  </w:style>
  <w:style w:type="character" w:styleId="20">
    <w:name w:val="annotation reference"/>
    <w:basedOn w:val="18"/>
    <w:semiHidden/>
    <w:unhideWhenUsed/>
    <w:qFormat/>
    <w:uiPriority w:val="99"/>
    <w:rPr>
      <w:sz w:val="21"/>
      <w:szCs w:val="21"/>
    </w:rPr>
  </w:style>
  <w:style w:type="character" w:customStyle="1" w:styleId="21">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8"/>
    <w:link w:val="5"/>
    <w:semiHidden/>
    <w:qFormat/>
    <w:uiPriority w:val="9"/>
    <w:rPr>
      <w:rFonts w:cstheme="majorBidi"/>
      <w:color w:val="104862" w:themeColor="accent1" w:themeShade="BF"/>
      <w:sz w:val="28"/>
      <w:szCs w:val="28"/>
    </w:rPr>
  </w:style>
  <w:style w:type="character" w:customStyle="1" w:styleId="25">
    <w:name w:val="标题 5 字符"/>
    <w:basedOn w:val="18"/>
    <w:link w:val="6"/>
    <w:semiHidden/>
    <w:qFormat/>
    <w:uiPriority w:val="9"/>
    <w:rPr>
      <w:rFonts w:cstheme="majorBidi"/>
      <w:color w:val="104862" w:themeColor="accent1" w:themeShade="BF"/>
      <w:sz w:val="24"/>
    </w:rPr>
  </w:style>
  <w:style w:type="character" w:customStyle="1" w:styleId="26">
    <w:name w:val="标题 6 字符"/>
    <w:basedOn w:val="18"/>
    <w:link w:val="7"/>
    <w:semiHidden/>
    <w:qFormat/>
    <w:uiPriority w:val="9"/>
    <w:rPr>
      <w:rFonts w:cstheme="majorBidi"/>
      <w:b/>
      <w:bCs/>
      <w:color w:val="104862" w:themeColor="accent1" w:themeShade="BF"/>
    </w:rPr>
  </w:style>
  <w:style w:type="character" w:customStyle="1" w:styleId="27">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8"/>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8"/>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8"/>
    <w:link w:val="36"/>
    <w:qFormat/>
    <w:uiPriority w:val="30"/>
    <w:rPr>
      <w:i/>
      <w:iCs/>
      <w:color w:val="104862" w:themeColor="accent1" w:themeShade="BF"/>
    </w:rPr>
  </w:style>
  <w:style w:type="character" w:customStyle="1" w:styleId="38">
    <w:name w:val="Intense Reference"/>
    <w:basedOn w:val="18"/>
    <w:qFormat/>
    <w:uiPriority w:val="32"/>
    <w:rPr>
      <w:b/>
      <w:bCs/>
      <w:smallCaps/>
      <w:color w:val="104862" w:themeColor="accent1" w:themeShade="BF"/>
      <w:spacing w:val="5"/>
    </w:rPr>
  </w:style>
  <w:style w:type="character" w:customStyle="1" w:styleId="39">
    <w:name w:val="页眉 字符"/>
    <w:basedOn w:val="18"/>
    <w:link w:val="13"/>
    <w:qFormat/>
    <w:uiPriority w:val="99"/>
    <w:rPr>
      <w:sz w:val="18"/>
      <w:szCs w:val="18"/>
    </w:rPr>
  </w:style>
  <w:style w:type="character" w:customStyle="1" w:styleId="40">
    <w:name w:val="页脚 字符"/>
    <w:basedOn w:val="18"/>
    <w:link w:val="12"/>
    <w:qFormat/>
    <w:uiPriority w:val="99"/>
    <w:rPr>
      <w:sz w:val="18"/>
      <w:szCs w:val="18"/>
    </w:rPr>
  </w:style>
  <w:style w:type="character" w:customStyle="1" w:styleId="41">
    <w:name w:val="批注文字 字符"/>
    <w:basedOn w:val="18"/>
    <w:link w:val="11"/>
    <w:qFormat/>
    <w:uiPriority w:val="99"/>
    <w:rPr>
      <w:rFonts w:ascii="Calibri" w:hAnsi="Calibri" w:eastAsia="宋体" w:cs="Times New Roman"/>
      <w:sz w:val="21"/>
      <w14:ligatures w14:val="none"/>
    </w:rPr>
  </w:style>
  <w:style w:type="character" w:customStyle="1" w:styleId="42">
    <w:name w:val="批注主题 字符"/>
    <w:basedOn w:val="41"/>
    <w:link w:val="16"/>
    <w:semiHidden/>
    <w:qFormat/>
    <w:uiPriority w:val="99"/>
    <w:rPr>
      <w:rFonts w:ascii="Calibri" w:hAnsi="Calibri" w:eastAsia="宋体" w:cs="Times New Roman"/>
      <w:b/>
      <w:bCs/>
      <w:sz w:val="21"/>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6</Pages>
  <Words>3250</Words>
  <Characters>3372</Characters>
  <Lines>105</Lines>
  <Paragraphs>98</Paragraphs>
  <TotalTime>4</TotalTime>
  <ScaleCrop>false</ScaleCrop>
  <LinksUpToDate>false</LinksUpToDate>
  <CharactersWithSpaces>3387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2026-06-19T02:37:00Z</dcterms:created>
  <dc:creator>Yifan Li</dc:creator>
  <cp:lastModifiedBy>头发乱了</cp:lastModifiedBy>
  <dcterms:modified xsi:type="dcterms:W3CDTF">2026-09-09T02:14:25Z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eyJoZGlkIjoiNDAwYmZjNGE1NWEzMmU1ZTQ0NWRjZDk4YzVkMGI3NzQiLCJ1c2VySWQiOiIyODQyNDUzOTkifQ==</vt:lpwstr>
  </property>
  <property fmtid="{D5CDD505-2E9C-101B-9397-08002B2CF9AE}" pid="3" name="KSOProductBuildVer">
    <vt:lpwstr>2052-12.1.0.28505</vt:lpwstr>
  </property>
  <property fmtid="{D5CDD505-2E9C-101B-9397-08002B2CF9AE}" pid="4" name="ICV">
    <vt:lpwstr>1ED03555096445F389D2BBB2E1E8F6C5_13</vt:lpwstr>
  </property>
</Properties>
</file>