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FF1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1" w:beforeAutospacing="0" w:after="141" w:afterAutospacing="0" w:line="720" w:lineRule="atLeast"/>
        <w:ind w:left="0" w:right="0" w:firstLine="0"/>
        <w:jc w:val="center"/>
        <w:rPr>
          <w:rFonts w:hint="eastAsia" w:ascii="微软雅黑" w:hAnsi="微软雅黑" w:eastAsia="微软雅黑" w:cs="微软雅黑"/>
          <w:i w:val="0"/>
          <w:iCs w:val="0"/>
          <w:caps w:val="0"/>
          <w:color w:val="1B1B1B"/>
          <w:spacing w:val="0"/>
          <w:sz w:val="33"/>
          <w:szCs w:val="33"/>
        </w:rPr>
      </w:pPr>
      <w:r>
        <w:rPr>
          <w:rFonts w:hint="eastAsia" w:ascii="微软雅黑" w:hAnsi="微软雅黑" w:eastAsia="微软雅黑" w:cs="微软雅黑"/>
          <w:i w:val="0"/>
          <w:iCs w:val="0"/>
          <w:caps w:val="0"/>
          <w:color w:val="1B1B1B"/>
          <w:spacing w:val="0"/>
          <w:sz w:val="33"/>
          <w:szCs w:val="33"/>
        </w:rPr>
        <w:t>集成电路技术与应用微专业</w:t>
      </w:r>
    </w:p>
    <w:p w14:paraId="329A1A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1" w:beforeAutospacing="0" w:after="141" w:afterAutospacing="0" w:line="720" w:lineRule="atLeast"/>
        <w:ind w:left="0" w:right="0" w:firstLine="0"/>
        <w:jc w:val="center"/>
        <w:rPr>
          <w:rFonts w:hint="eastAsia" w:ascii="微软雅黑" w:hAnsi="微软雅黑" w:eastAsia="微软雅黑" w:cs="微软雅黑"/>
          <w:bCs/>
          <w:sz w:val="44"/>
          <w:szCs w:val="44"/>
        </w:rPr>
      </w:pPr>
      <w:r>
        <w:rPr>
          <w:rFonts w:hint="eastAsia" w:ascii="微软雅黑" w:hAnsi="微软雅黑" w:eastAsia="微软雅黑" w:cs="微软雅黑"/>
          <w:i w:val="0"/>
          <w:iCs w:val="0"/>
          <w:caps w:val="0"/>
          <w:color w:val="1B1B1B"/>
          <w:spacing w:val="0"/>
          <w:sz w:val="33"/>
          <w:szCs w:val="33"/>
        </w:rPr>
        <w:t>202</w:t>
      </w:r>
      <w:r>
        <w:rPr>
          <w:rFonts w:hint="eastAsia" w:ascii="微软雅黑" w:hAnsi="微软雅黑" w:eastAsia="微软雅黑" w:cs="微软雅黑"/>
          <w:i w:val="0"/>
          <w:iCs w:val="0"/>
          <w:caps w:val="0"/>
          <w:color w:val="1B1B1B"/>
          <w:spacing w:val="0"/>
          <w:sz w:val="33"/>
          <w:szCs w:val="33"/>
          <w:lang w:val="en-US" w:eastAsia="zh-CN"/>
        </w:rPr>
        <w:t>6</w:t>
      </w:r>
      <w:r>
        <w:rPr>
          <w:rFonts w:hint="eastAsia" w:ascii="微软雅黑" w:hAnsi="微软雅黑" w:eastAsia="微软雅黑" w:cs="微软雅黑"/>
          <w:i w:val="0"/>
          <w:iCs w:val="0"/>
          <w:caps w:val="0"/>
          <w:color w:val="1B1B1B"/>
          <w:spacing w:val="0"/>
          <w:sz w:val="33"/>
          <w:szCs w:val="33"/>
        </w:rPr>
        <w:t>级集成电路与应用微专业招生简章</w:t>
      </w:r>
    </w:p>
    <w:p w14:paraId="2837D7F4">
      <w:pPr>
        <w:keepNext w:val="0"/>
        <w:keepLines w:val="0"/>
        <w:pageBreakBefore w:val="0"/>
        <w:kinsoku/>
        <w:wordWrap/>
        <w:overflowPunct/>
        <w:topLinePunct w:val="0"/>
        <w:bidi w:val="0"/>
        <w:spacing w:before="156" w:beforeLines="50" w:after="156" w:afterLines="50" w:line="240" w:lineRule="auto"/>
        <w:ind w:left="682" w:hanging="434" w:hangingChars="155"/>
        <w:jc w:val="center"/>
        <w:textAlignment w:val="auto"/>
        <w:rPr>
          <w:rFonts w:hint="default" w:ascii="微软雅黑" w:hAnsi="微软雅黑" w:eastAsia="微软雅黑" w:cs="微软雅黑"/>
          <w:bCs/>
          <w:sz w:val="28"/>
          <w:szCs w:val="28"/>
          <w:highlight w:val="none"/>
          <w:lang w:val="en-US" w:eastAsia="zh-CN"/>
        </w:rPr>
      </w:pPr>
      <w:r>
        <w:rPr>
          <w:rFonts w:hint="eastAsia" w:ascii="微软雅黑" w:hAnsi="微软雅黑" w:eastAsia="微软雅黑" w:cs="微软雅黑"/>
          <w:bCs/>
          <w:sz w:val="28"/>
          <w:szCs w:val="28"/>
          <w:highlight w:val="none"/>
          <w:lang w:val="en-US" w:eastAsia="zh-CN"/>
        </w:rPr>
        <w:t>（2026年）</w:t>
      </w:r>
    </w:p>
    <w:p w14:paraId="4A129F68">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eastAsia="仿宋_GB2312"/>
          <w:b/>
          <w:sz w:val="28"/>
          <w:szCs w:val="28"/>
        </w:rPr>
      </w:pPr>
      <w:r>
        <w:rPr>
          <w:rFonts w:hint="eastAsia" w:ascii="仿宋_GB2312" w:eastAsia="仿宋_GB2312"/>
          <w:b/>
          <w:sz w:val="28"/>
          <w:szCs w:val="28"/>
        </w:rPr>
        <w:t>一、 集成电路</w:t>
      </w:r>
      <w:r>
        <w:rPr>
          <w:rFonts w:hint="eastAsia" w:ascii="仿宋_GB2312" w:eastAsia="仿宋_GB2312"/>
          <w:b/>
          <w:sz w:val="28"/>
          <w:szCs w:val="28"/>
          <w:lang w:val="en-US" w:eastAsia="zh-CN"/>
        </w:rPr>
        <w:t>技术</w:t>
      </w:r>
      <w:r>
        <w:rPr>
          <w:rFonts w:hint="eastAsia" w:ascii="仿宋_GB2312" w:eastAsia="仿宋_GB2312"/>
          <w:b/>
          <w:sz w:val="28"/>
          <w:szCs w:val="28"/>
        </w:rPr>
        <w:t>与应用微专业简介</w:t>
      </w:r>
    </w:p>
    <w:p w14:paraId="580B333F">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集成电路技术与应用微专业面向国家战略和集成电路产业发展需求，紧密对接区域产业链，以智能制造交叉应用为特色，聚焦集成电路技术与应用专业方向，培养德智体美劳全面发展及具有创新思维、复合的知识结构和较强综合应用能力，能在集成电路技术及应用等领域从事技术开发、管理等工作的高素质复合型应用技术人才，为非集成电路专业本科生提供适应学科交叉融合、满足国家战略需求的多种学习机会，为培养跨学科复合型人才提供新路径。</w:t>
      </w:r>
    </w:p>
    <w:p w14:paraId="73EB4368">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仿宋_GB2312" w:eastAsia="仿宋_GB2312"/>
          <w:b/>
          <w:sz w:val="28"/>
          <w:szCs w:val="28"/>
        </w:rPr>
      </w:pPr>
      <w:r>
        <w:rPr>
          <w:rFonts w:hint="eastAsia" w:ascii="Times New Roman" w:hAnsi="Times New Roman" w:eastAsia="华文仿宋" w:cs="Times New Roman"/>
          <w:kern w:val="2"/>
          <w:sz w:val="24"/>
          <w:szCs w:val="24"/>
          <w:lang w:val="en-US" w:eastAsia="zh-CN"/>
        </w:rPr>
        <w:t>实行三段递进式（即2学期工程基础和专业理论学习+1学期的专业实践+1学期企业岗位实习）培养，设立三个层次课程体系。紧跟集成电路产业前沿和岗位能力提升，联合开发建设微专业核心课程，以线上教学和线下实践相结合的方式获取工程能力。</w:t>
      </w:r>
    </w:p>
    <w:p w14:paraId="74547C5B">
      <w:pPr>
        <w:keepNext w:val="0"/>
        <w:keepLines w:val="0"/>
        <w:pageBreakBefore w:val="0"/>
        <w:widowControl w:val="0"/>
        <w:numPr>
          <w:ilvl w:val="0"/>
          <w:numId w:val="1"/>
        </w:numPr>
        <w:kinsoku/>
        <w:wordWrap/>
        <w:overflowPunct/>
        <w:topLinePunct w:val="0"/>
        <w:autoSpaceDE/>
        <w:autoSpaceDN/>
        <w:bidi w:val="0"/>
        <w:adjustRightInd w:val="0"/>
        <w:snapToGrid w:val="0"/>
        <w:spacing w:before="157" w:beforeLines="50" w:after="157" w:afterLines="50" w:line="240" w:lineRule="auto"/>
        <w:textAlignment w:val="auto"/>
        <w:rPr>
          <w:rFonts w:ascii="仿宋_GB2312" w:eastAsia="仿宋_GB2312"/>
          <w:b/>
          <w:sz w:val="28"/>
          <w:szCs w:val="28"/>
        </w:rPr>
      </w:pPr>
      <w:r>
        <w:rPr>
          <w:rFonts w:hint="eastAsia" w:ascii="仿宋_GB2312" w:eastAsia="仿宋_GB2312"/>
          <w:b/>
          <w:sz w:val="28"/>
          <w:szCs w:val="28"/>
        </w:rPr>
        <w:t>培养目标</w:t>
      </w:r>
    </w:p>
    <w:p w14:paraId="76B665BA">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针对我校非集成电路专业本科生，面向上海及长三角地区的集成电路产业，培养具有扎实的自然科学及工程基础知识、良好的人文素养和职业道德，具备良好的沟通协作和终身学习能力，掌握集成电路设计、制造与测试的专业知识，具有较强的工程实践能力，能够在集成电路相关领域从事集成电路设计和验证、制造工艺整合、封装工艺开发、集成电路测试等工作的德智体美劳全面发展的高素质复合型应用技术人才。</w:t>
      </w:r>
    </w:p>
    <w:p w14:paraId="27D04899">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培养目标1：</w:t>
      </w:r>
      <w:r>
        <w:rPr>
          <w:rFonts w:hint="default" w:ascii="Times New Roman" w:hAnsi="Times New Roman" w:eastAsia="华文仿宋" w:cs="Times New Roman"/>
          <w:kern w:val="2"/>
          <w:sz w:val="24"/>
          <w:szCs w:val="24"/>
          <w:lang w:val="en-US" w:eastAsia="zh-CN"/>
        </w:rPr>
        <w:t>使学生通过灵活且较为系统的微专业培养，能够在集成电路领域具备</w:t>
      </w:r>
      <w:r>
        <w:rPr>
          <w:rFonts w:hint="eastAsia" w:ascii="Times New Roman" w:hAnsi="Times New Roman" w:eastAsia="华文仿宋" w:cs="Times New Roman"/>
          <w:kern w:val="2"/>
          <w:sz w:val="24"/>
          <w:szCs w:val="24"/>
          <w:lang w:val="en-US" w:eastAsia="zh-CN"/>
        </w:rPr>
        <w:t>一定的</w:t>
      </w:r>
      <w:r>
        <w:rPr>
          <w:rFonts w:hint="default" w:ascii="Times New Roman" w:hAnsi="Times New Roman" w:eastAsia="华文仿宋" w:cs="Times New Roman"/>
          <w:kern w:val="2"/>
          <w:sz w:val="24"/>
          <w:szCs w:val="24"/>
          <w:lang w:val="en-US" w:eastAsia="zh-CN"/>
        </w:rPr>
        <w:t>学术专业素养和行业从业能力。</w:t>
      </w:r>
    </w:p>
    <w:p w14:paraId="75850A61">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培养目标2：</w:t>
      </w:r>
      <w:r>
        <w:rPr>
          <w:rFonts w:hint="default" w:ascii="Times New Roman" w:hAnsi="Times New Roman" w:eastAsia="华文仿宋" w:cs="Times New Roman"/>
          <w:kern w:val="2"/>
          <w:sz w:val="24"/>
          <w:szCs w:val="24"/>
          <w:lang w:val="en-US" w:eastAsia="zh-CN"/>
        </w:rPr>
        <w:t>具备自主学习和终身学习的意识，能够通过持续学习，不断提升专业能力以适应行业发展。</w:t>
      </w:r>
    </w:p>
    <w:p w14:paraId="1FB6E66D">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培养目标3：</w:t>
      </w:r>
      <w:r>
        <w:rPr>
          <w:rFonts w:hint="default" w:ascii="Times New Roman" w:hAnsi="Times New Roman" w:eastAsia="华文仿宋" w:cs="Times New Roman"/>
          <w:kern w:val="2"/>
          <w:sz w:val="24"/>
          <w:szCs w:val="24"/>
          <w:lang w:val="en-US" w:eastAsia="zh-CN"/>
        </w:rPr>
        <w:t>综合考虑社会、健康、环境、法律、经济、</w:t>
      </w:r>
      <w:r>
        <w:rPr>
          <w:rFonts w:hint="eastAsia" w:ascii="Times New Roman" w:hAnsi="Times New Roman" w:eastAsia="华文仿宋" w:cs="Times New Roman"/>
          <w:kern w:val="2"/>
          <w:sz w:val="24"/>
          <w:szCs w:val="24"/>
          <w:lang w:val="en-US" w:eastAsia="zh-CN"/>
        </w:rPr>
        <w:t>政策</w:t>
      </w:r>
      <w:r>
        <w:rPr>
          <w:rFonts w:hint="default" w:ascii="Times New Roman" w:hAnsi="Times New Roman" w:eastAsia="华文仿宋" w:cs="Times New Roman"/>
          <w:kern w:val="2"/>
          <w:sz w:val="24"/>
          <w:szCs w:val="24"/>
          <w:lang w:val="en-US" w:eastAsia="zh-CN"/>
        </w:rPr>
        <w:t>、文化等方面的基础上，</w:t>
      </w:r>
      <w:r>
        <w:rPr>
          <w:rFonts w:hint="eastAsia" w:ascii="Times New Roman" w:hAnsi="Times New Roman" w:eastAsia="华文仿宋" w:cs="Times New Roman"/>
          <w:kern w:val="2"/>
          <w:sz w:val="24"/>
          <w:szCs w:val="24"/>
          <w:lang w:val="en-US" w:eastAsia="zh-CN"/>
        </w:rPr>
        <w:t>具备从事集成电路设计和验证、制造工艺整合、封装工艺开发、集成电路测试等工作的能力，</w:t>
      </w:r>
      <w:r>
        <w:rPr>
          <w:rFonts w:hint="default" w:ascii="Times New Roman" w:hAnsi="Times New Roman" w:eastAsia="华文仿宋" w:cs="Times New Roman"/>
          <w:kern w:val="2"/>
          <w:sz w:val="24"/>
          <w:szCs w:val="24"/>
          <w:lang w:val="en-US" w:eastAsia="zh-CN"/>
        </w:rPr>
        <w:t>成为该领域的高素质</w:t>
      </w:r>
      <w:r>
        <w:rPr>
          <w:rFonts w:hint="eastAsia" w:ascii="Times New Roman" w:hAnsi="Times New Roman" w:eastAsia="华文仿宋" w:cs="Times New Roman"/>
          <w:kern w:val="2"/>
          <w:sz w:val="24"/>
          <w:szCs w:val="24"/>
          <w:lang w:val="en-US" w:eastAsia="zh-CN"/>
        </w:rPr>
        <w:t>复合型应用技术人才</w:t>
      </w:r>
      <w:r>
        <w:rPr>
          <w:rFonts w:hint="default" w:ascii="Times New Roman" w:hAnsi="Times New Roman" w:eastAsia="华文仿宋" w:cs="Times New Roman"/>
          <w:kern w:val="2"/>
          <w:sz w:val="24"/>
          <w:szCs w:val="24"/>
          <w:lang w:val="en-US" w:eastAsia="zh-CN"/>
        </w:rPr>
        <w:t>或管理者。</w:t>
      </w:r>
    </w:p>
    <w:p w14:paraId="475669B6">
      <w:pPr>
        <w:keepNext w:val="0"/>
        <w:keepLines w:val="0"/>
        <w:pageBreakBefore w:val="0"/>
        <w:widowControl w:val="0"/>
        <w:numPr>
          <w:ilvl w:val="0"/>
          <w:numId w:val="2"/>
        </w:numPr>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hAnsi="宋体" w:eastAsia="仿宋_GB2312" w:cs="宋体"/>
          <w:b/>
          <w:sz w:val="28"/>
          <w:szCs w:val="28"/>
          <w:lang w:val="en-US" w:eastAsia="zh-CN"/>
        </w:rPr>
      </w:pPr>
      <w:r>
        <w:rPr>
          <w:rFonts w:hint="eastAsia" w:ascii="仿宋_GB2312" w:hAnsi="宋体" w:eastAsia="仿宋_GB2312" w:cs="宋体"/>
          <w:b/>
          <w:sz w:val="28"/>
          <w:szCs w:val="28"/>
          <w:lang w:val="en-US" w:eastAsia="zh-CN"/>
        </w:rPr>
        <w:t>培养要求</w:t>
      </w:r>
    </w:p>
    <w:p w14:paraId="0960FAB5">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仿宋_GB2312" w:hAnsi="宋体" w:eastAsia="仿宋_GB2312" w:cs="宋体"/>
          <w:b/>
          <w:sz w:val="28"/>
          <w:szCs w:val="28"/>
          <w:lang w:val="en-US" w:eastAsia="zh-CN"/>
        </w:rPr>
      </w:pPr>
      <w:r>
        <w:rPr>
          <w:rFonts w:hint="eastAsia" w:ascii="Times New Roman" w:hAnsi="Times New Roman" w:eastAsia="华文仿宋" w:cs="Times New Roman"/>
          <w:kern w:val="2"/>
          <w:sz w:val="24"/>
          <w:szCs w:val="24"/>
          <w:lang w:val="en-US" w:eastAsia="zh-CN"/>
        </w:rPr>
        <w:t>通过学习“集成电路技术与应用”微专业，学生将学习到集成电路的设计、制造和测试等技术，同时也将接触到一些实际工程项目和实验实践环节，能够增强技术实践能力。学习“集成电路技术与应用”微专业，不仅可以掌握集成电路方面的知识，同时也将涉及到一些相关的学科知识，如电子学、物理学等，能够拓宽学生的学科知识面，还可以了解到前沿技术和发展趋势，提高在集成电路行业的就业竞争力。</w:t>
      </w:r>
    </w:p>
    <w:p w14:paraId="111D4786">
      <w:pPr>
        <w:keepNext w:val="0"/>
        <w:keepLines w:val="0"/>
        <w:pageBreakBefore w:val="0"/>
        <w:widowControl w:val="0"/>
        <w:numPr>
          <w:ilvl w:val="0"/>
          <w:numId w:val="3"/>
        </w:numPr>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hAnsi="宋体" w:eastAsia="仿宋_GB2312" w:cs="宋体"/>
          <w:b/>
          <w:sz w:val="28"/>
          <w:szCs w:val="28"/>
        </w:rPr>
      </w:pPr>
      <w:r>
        <w:rPr>
          <w:rFonts w:hint="eastAsia" w:ascii="仿宋_GB2312" w:hAnsi="宋体" w:eastAsia="仿宋_GB2312" w:cs="宋体"/>
          <w:b/>
          <w:sz w:val="28"/>
          <w:szCs w:val="28"/>
        </w:rPr>
        <w:t>招生对象与条件</w:t>
      </w:r>
    </w:p>
    <w:p w14:paraId="7D82C89B">
      <w:pPr>
        <w:pStyle w:val="7"/>
        <w:keepNext w:val="0"/>
        <w:keepLines w:val="0"/>
        <w:pageBreakBefore w:val="0"/>
        <w:numPr>
          <w:ilvl w:val="0"/>
          <w:numId w:val="4"/>
        </w:numPr>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default" w:ascii="Times New Roman" w:hAnsi="Times New Roman" w:eastAsia="华文仿宋" w:cs="Times New Roman"/>
          <w:kern w:val="2"/>
          <w:sz w:val="24"/>
          <w:szCs w:val="24"/>
          <w:lang w:val="en-US" w:eastAsia="zh-CN"/>
        </w:rPr>
        <w:t>选拔对象为</w:t>
      </w:r>
      <w:r>
        <w:rPr>
          <w:rFonts w:hint="eastAsia" w:ascii="Times New Roman" w:hAnsi="Times New Roman" w:eastAsia="华文仿宋" w:cs="Times New Roman"/>
          <w:kern w:val="2"/>
          <w:sz w:val="24"/>
          <w:szCs w:val="24"/>
          <w:highlight w:val="none"/>
          <w:lang w:val="en-US" w:eastAsia="zh-CN"/>
        </w:rPr>
        <w:t>全校理工科专业</w:t>
      </w:r>
      <w:r>
        <w:rPr>
          <w:rFonts w:hint="default" w:ascii="Times New Roman" w:hAnsi="Times New Roman" w:eastAsia="华文仿宋" w:cs="Times New Roman"/>
          <w:kern w:val="2"/>
          <w:sz w:val="24"/>
          <w:szCs w:val="24"/>
          <w:highlight w:val="none"/>
          <w:lang w:val="en-US" w:eastAsia="zh-CN"/>
        </w:rPr>
        <w:t>本科</w:t>
      </w:r>
      <w:r>
        <w:rPr>
          <w:rFonts w:hint="eastAsia" w:ascii="Times New Roman" w:hAnsi="Times New Roman" w:eastAsia="华文仿宋" w:cs="Times New Roman"/>
          <w:kern w:val="2"/>
          <w:sz w:val="24"/>
          <w:szCs w:val="24"/>
          <w:highlight w:val="none"/>
          <w:lang w:val="en-US" w:eastAsia="zh-CN"/>
        </w:rPr>
        <w:t>二</w:t>
      </w:r>
      <w:r>
        <w:rPr>
          <w:rFonts w:hint="default" w:ascii="Times New Roman" w:hAnsi="Times New Roman" w:eastAsia="华文仿宋" w:cs="Times New Roman"/>
          <w:kern w:val="2"/>
          <w:sz w:val="24"/>
          <w:szCs w:val="24"/>
          <w:highlight w:val="none"/>
          <w:lang w:val="en-US" w:eastAsia="zh-CN"/>
        </w:rPr>
        <w:t>年级在校生</w:t>
      </w:r>
      <w:r>
        <w:rPr>
          <w:rFonts w:hint="default" w:ascii="Times New Roman" w:hAnsi="Times New Roman" w:eastAsia="华文仿宋" w:cs="Times New Roman"/>
          <w:kern w:val="2"/>
          <w:sz w:val="24"/>
          <w:szCs w:val="24"/>
          <w:lang w:val="en-US" w:eastAsia="zh-CN"/>
        </w:rPr>
        <w:t>，</w:t>
      </w:r>
      <w:r>
        <w:rPr>
          <w:rFonts w:hint="eastAsia" w:ascii="Times New Roman" w:hAnsi="Times New Roman" w:eastAsia="华文仿宋" w:cs="Times New Roman"/>
          <w:kern w:val="2"/>
          <w:sz w:val="24"/>
          <w:szCs w:val="24"/>
          <w:lang w:val="en-US" w:eastAsia="zh-CN"/>
        </w:rPr>
        <w:t>招生规模</w:t>
      </w:r>
      <w:r>
        <w:rPr>
          <w:rFonts w:hint="default" w:ascii="Times New Roman" w:hAnsi="Times New Roman" w:eastAsia="华文仿宋" w:cs="Times New Roman"/>
          <w:kern w:val="2"/>
          <w:sz w:val="24"/>
          <w:szCs w:val="24"/>
          <w:lang w:val="en-US" w:eastAsia="zh-CN"/>
        </w:rPr>
        <w:t>为30人</w:t>
      </w:r>
      <w:r>
        <w:rPr>
          <w:rFonts w:hint="eastAsia" w:ascii="Times New Roman" w:hAnsi="Times New Roman" w:eastAsia="华文仿宋" w:cs="Times New Roman"/>
          <w:kern w:val="2"/>
          <w:sz w:val="24"/>
          <w:szCs w:val="24"/>
          <w:lang w:val="en-US" w:eastAsia="zh-CN"/>
        </w:rPr>
        <w:t>/年</w:t>
      </w:r>
      <w:r>
        <w:rPr>
          <w:rFonts w:hint="default" w:ascii="Times New Roman" w:hAnsi="Times New Roman" w:eastAsia="华文仿宋" w:cs="Times New Roman"/>
          <w:kern w:val="2"/>
          <w:sz w:val="24"/>
          <w:szCs w:val="24"/>
          <w:lang w:val="en-US" w:eastAsia="zh-CN"/>
        </w:rPr>
        <w:t>；</w:t>
      </w:r>
    </w:p>
    <w:p w14:paraId="43FD77A5">
      <w:pPr>
        <w:pStyle w:val="7"/>
        <w:keepNext w:val="0"/>
        <w:keepLines w:val="0"/>
        <w:pageBreakBefore w:val="0"/>
        <w:numPr>
          <w:ilvl w:val="0"/>
          <w:numId w:val="4"/>
        </w:numPr>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default" w:ascii="Times New Roman" w:hAnsi="Times New Roman" w:eastAsia="华文仿宋" w:cs="Times New Roman"/>
          <w:kern w:val="2"/>
          <w:sz w:val="24"/>
          <w:szCs w:val="24"/>
          <w:lang w:val="en-US" w:eastAsia="zh-CN"/>
        </w:rPr>
        <w:t>选拔原则遵循“自愿报名、专业相近、择优录取”。</w:t>
      </w:r>
    </w:p>
    <w:p w14:paraId="7217C278">
      <w:pPr>
        <w:pStyle w:val="7"/>
        <w:keepNext w:val="0"/>
        <w:keepLines w:val="0"/>
        <w:pageBreakBefore w:val="0"/>
        <w:numPr>
          <w:ilvl w:val="0"/>
          <w:numId w:val="4"/>
        </w:numPr>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highlight w:val="none"/>
          <w:lang w:val="en-US" w:eastAsia="zh-CN"/>
        </w:rPr>
      </w:pPr>
      <w:r>
        <w:rPr>
          <w:rFonts w:hint="eastAsia" w:ascii="Times New Roman" w:hAnsi="Times New Roman" w:eastAsia="华文仿宋" w:cs="Times New Roman"/>
          <w:kern w:val="2"/>
          <w:sz w:val="24"/>
          <w:szCs w:val="24"/>
          <w:lang w:val="en-US" w:eastAsia="zh-CN"/>
        </w:rPr>
        <w:t>先修要求：高等数学、大学物理、电工与电子学。</w:t>
      </w:r>
      <w:r>
        <w:rPr>
          <w:rFonts w:hint="default" w:ascii="Times New Roman" w:hAnsi="Times New Roman" w:eastAsia="华文仿宋" w:cs="Times New Roman"/>
          <w:kern w:val="2"/>
          <w:sz w:val="24"/>
          <w:szCs w:val="24"/>
          <w:lang w:val="en-US" w:eastAsia="zh-CN"/>
        </w:rPr>
        <w:t>学生需满足先修课程</w:t>
      </w:r>
      <w:r>
        <w:rPr>
          <w:rFonts w:hint="default" w:ascii="Times New Roman" w:hAnsi="Times New Roman" w:eastAsia="华文仿宋" w:cs="Times New Roman"/>
          <w:kern w:val="2"/>
          <w:sz w:val="24"/>
          <w:szCs w:val="24"/>
          <w:highlight w:val="none"/>
          <w:lang w:val="en-US" w:eastAsia="zh-CN"/>
        </w:rPr>
        <w:t>平均绩点≥2.3，且在校期间无违纪违规。</w:t>
      </w:r>
    </w:p>
    <w:p w14:paraId="2C26A644">
      <w:pPr>
        <w:pStyle w:val="7"/>
        <w:keepNext w:val="0"/>
        <w:keepLines w:val="0"/>
        <w:pageBreakBefore w:val="0"/>
        <w:numPr>
          <w:ilvl w:val="0"/>
          <w:numId w:val="4"/>
        </w:numPr>
        <w:kinsoku/>
        <w:wordWrap/>
        <w:overflowPunct/>
        <w:topLinePunct w:val="0"/>
        <w:bidi w:val="0"/>
        <w:spacing w:line="240" w:lineRule="auto"/>
        <w:ind w:right="57" w:firstLine="480" w:firstLineChars="200"/>
        <w:jc w:val="both"/>
        <w:textAlignment w:val="auto"/>
      </w:pPr>
      <w:r>
        <w:rPr>
          <w:rFonts w:hint="default" w:ascii="Times New Roman" w:hAnsi="Times New Roman" w:eastAsia="华文仿宋" w:cs="Times New Roman"/>
          <w:kern w:val="2"/>
          <w:sz w:val="24"/>
          <w:szCs w:val="24"/>
          <w:lang w:val="en-US" w:eastAsia="zh-CN"/>
        </w:rPr>
        <w:t>微专业课程修读时间为2年。成绩单独管理，完成全部课程修满学分可获得微专业证书。</w:t>
      </w:r>
    </w:p>
    <w:p w14:paraId="5304DCCD">
      <w:pPr>
        <w:keepNext w:val="0"/>
        <w:keepLines w:val="0"/>
        <w:pageBreakBefore w:val="0"/>
        <w:widowControl w:val="0"/>
        <w:numPr>
          <w:ilvl w:val="0"/>
          <w:numId w:val="5"/>
        </w:numPr>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hAnsi="宋体" w:eastAsia="仿宋_GB2312" w:cs="宋体"/>
          <w:b/>
          <w:sz w:val="28"/>
          <w:szCs w:val="28"/>
          <w:lang w:val="en-US" w:eastAsia="zh-CN"/>
        </w:rPr>
      </w:pPr>
      <w:r>
        <w:rPr>
          <w:rFonts w:hint="eastAsia" w:ascii="仿宋_GB2312" w:hAnsi="宋体" w:eastAsia="仿宋_GB2312" w:cs="宋体"/>
          <w:b/>
          <w:sz w:val="28"/>
          <w:szCs w:val="28"/>
          <w:lang w:val="en-US" w:eastAsia="zh-CN"/>
        </w:rPr>
        <w:t>学制及证书授予</w:t>
      </w:r>
    </w:p>
    <w:p w14:paraId="5A3FCC63">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1. 集成电路技术与应用微专业培养周期为2年，开课学期为第4、5、6、7学期。</w:t>
      </w:r>
    </w:p>
    <w:p w14:paraId="7A999208">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2. 微专业课程成绩单独管理，不计入主修专业成绩单。</w:t>
      </w:r>
    </w:p>
    <w:p w14:paraId="797067AB">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3. 学生在本科毕业或结业离校前，修完微专业培养方案规定的20学分全部课程，且成绩合格，予以颁发微专业证书。</w:t>
      </w:r>
    </w:p>
    <w:p w14:paraId="3B29E417">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4. 学生如有特殊情况未能在2年内修完微专业总学分，可申请课程重修，最长学习时间不超过2.5年。</w:t>
      </w:r>
    </w:p>
    <w:p w14:paraId="4901CA48">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hAnsi="宋体" w:eastAsia="仿宋_GB2312" w:cs="宋体"/>
          <w:b/>
          <w:sz w:val="28"/>
          <w:szCs w:val="28"/>
          <w:lang w:val="en-US" w:eastAsia="zh-CN"/>
        </w:rPr>
      </w:pPr>
      <w:r>
        <w:rPr>
          <w:rFonts w:hint="eastAsia" w:ascii="仿宋_GB2312" w:hAnsi="宋体" w:eastAsia="仿宋_GB2312" w:cs="宋体"/>
          <w:b/>
          <w:sz w:val="28"/>
          <w:szCs w:val="28"/>
          <w:lang w:val="en-US" w:eastAsia="zh-CN"/>
        </w:rPr>
        <w:t>六、 学费</w:t>
      </w:r>
    </w:p>
    <w:p w14:paraId="6218C423">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微专业收费按照我校相关规定，根据学分收取。</w:t>
      </w:r>
    </w:p>
    <w:p w14:paraId="34ED82AC">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hAnsi="宋体" w:eastAsia="仿宋_GB2312" w:cs="宋体"/>
          <w:b/>
          <w:sz w:val="28"/>
          <w:szCs w:val="28"/>
          <w:lang w:val="en-US" w:eastAsia="zh-CN"/>
        </w:rPr>
      </w:pPr>
      <w:r>
        <w:rPr>
          <w:rFonts w:hint="eastAsia" w:ascii="仿宋_GB2312" w:hAnsi="宋体" w:eastAsia="仿宋_GB2312" w:cs="宋体"/>
          <w:b/>
          <w:sz w:val="28"/>
          <w:szCs w:val="28"/>
          <w:lang w:val="en-US" w:eastAsia="zh-CN"/>
        </w:rPr>
        <w:t>七、 报名及咨询方式</w:t>
      </w:r>
    </w:p>
    <w:p w14:paraId="6545F75A">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报名时间：即日起至2026年</w:t>
      </w:r>
      <w:r>
        <w:rPr>
          <w:rFonts w:hint="eastAsia" w:ascii="Times New Roman" w:hAnsi="Times New Roman" w:eastAsia="华文仿宋" w:cs="Times New Roman"/>
          <w:kern w:val="2"/>
          <w:sz w:val="24"/>
          <w:szCs w:val="24"/>
          <w:highlight w:val="none"/>
          <w:lang w:val="en-US" w:eastAsia="zh-CN"/>
        </w:rPr>
        <w:t>9月16日，录取名单于2026年9月21日</w:t>
      </w:r>
      <w:r>
        <w:rPr>
          <w:rFonts w:hint="eastAsia" w:ascii="Times New Roman" w:hAnsi="Times New Roman" w:eastAsia="华文仿宋" w:cs="Times New Roman"/>
          <w:kern w:val="2"/>
          <w:sz w:val="24"/>
          <w:szCs w:val="24"/>
          <w:lang w:val="en-US" w:eastAsia="zh-CN"/>
        </w:rPr>
        <w:t>之前在智能制造与控制工程学院网站予以公布。</w:t>
      </w:r>
      <w:bookmarkStart w:id="0" w:name="_GoBack"/>
      <w:bookmarkEnd w:id="0"/>
    </w:p>
    <w:p w14:paraId="082D4623">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报名方式：</w:t>
      </w:r>
    </w:p>
    <w:p w14:paraId="1875A96E">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报名网址：https://www.wjx.top/vm/hnpjbwL.aspx# 报名，学院审核后，择优确定微专业录取名单，报教务处备案并发布录取信息。</w:t>
      </w:r>
    </w:p>
    <w:p w14:paraId="74303933">
      <w:pPr>
        <w:pStyle w:val="7"/>
        <w:keepNext w:val="0"/>
        <w:keepLines w:val="0"/>
        <w:pageBreakBefore w:val="0"/>
        <w:kinsoku/>
        <w:wordWrap/>
        <w:overflowPunct/>
        <w:topLinePunct w:val="0"/>
        <w:bidi w:val="0"/>
        <w:spacing w:line="240" w:lineRule="auto"/>
        <w:ind w:right="57"/>
        <w:jc w:val="center"/>
        <w:textAlignment w:val="auto"/>
        <w:rPr>
          <w:rFonts w:hint="default" w:ascii="Times New Roman" w:hAnsi="Times New Roman" w:eastAsia="华文仿宋" w:cs="Times New Roman"/>
          <w:kern w:val="2"/>
          <w:sz w:val="24"/>
          <w:szCs w:val="24"/>
          <w:lang w:val="en-US" w:eastAsia="zh-CN"/>
        </w:rPr>
      </w:pPr>
      <w:r>
        <w:rPr>
          <w:rFonts w:ascii="宋体" w:hAnsi="宋体" w:eastAsia="宋体" w:cs="宋体"/>
          <w:sz w:val="24"/>
          <w:szCs w:val="24"/>
        </w:rPr>
        <w:drawing>
          <wp:inline distT="0" distB="0" distL="114300" distR="114300">
            <wp:extent cx="1837055" cy="1837055"/>
            <wp:effectExtent l="0" t="0" r="10795" b="1079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1837055" cy="1837055"/>
                    </a:xfrm>
                    <a:prstGeom prst="rect">
                      <a:avLst/>
                    </a:prstGeom>
                    <a:noFill/>
                    <a:ln w="9525">
                      <a:noFill/>
                    </a:ln>
                  </pic:spPr>
                </pic:pic>
              </a:graphicData>
            </a:graphic>
          </wp:inline>
        </w:drawing>
      </w:r>
    </w:p>
    <w:p w14:paraId="547AD00E">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default" w:ascii="Times New Roman" w:hAnsi="Times New Roman" w:eastAsia="华文仿宋" w:cs="Times New Roman"/>
          <w:kern w:val="2"/>
          <w:sz w:val="24"/>
          <w:szCs w:val="24"/>
          <w:lang w:val="en-US" w:eastAsia="zh-CN"/>
        </w:rPr>
        <w:t>联系人：袁老师</w:t>
      </w:r>
      <w:r>
        <w:rPr>
          <w:rFonts w:hint="eastAsia" w:ascii="Times New Roman" w:hAnsi="Times New Roman" w:eastAsia="华文仿宋" w:cs="Times New Roman"/>
          <w:kern w:val="2"/>
          <w:sz w:val="24"/>
          <w:szCs w:val="24"/>
          <w:lang w:val="en-US" w:eastAsia="zh-CN"/>
        </w:rPr>
        <w:t>、</w:t>
      </w:r>
      <w:r>
        <w:rPr>
          <w:rFonts w:hint="eastAsia" w:ascii="Times New Roman" w:hAnsi="Times New Roman" w:eastAsia="华文仿宋" w:cs="Times New Roman"/>
          <w:kern w:val="2"/>
          <w:sz w:val="24"/>
          <w:szCs w:val="24"/>
          <w:highlight w:val="none"/>
          <w:lang w:val="en-US" w:eastAsia="zh-CN"/>
        </w:rPr>
        <w:t>石老师</w:t>
      </w:r>
    </w:p>
    <w:p w14:paraId="6BCE91E0">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default" w:ascii="Times New Roman" w:hAnsi="Times New Roman" w:eastAsia="华文仿宋" w:cs="Times New Roman"/>
          <w:kern w:val="2"/>
          <w:sz w:val="24"/>
          <w:szCs w:val="24"/>
          <w:lang w:val="en-US" w:eastAsia="zh-CN"/>
        </w:rPr>
        <w:t>联系电话：021-50216490，18501726915（工作日9:00-16:00）</w:t>
      </w:r>
    </w:p>
    <w:p w14:paraId="7FA8235B">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default" w:ascii="Times New Roman" w:hAnsi="Times New Roman" w:eastAsia="华文仿宋" w:cs="Times New Roman"/>
          <w:kern w:val="2"/>
          <w:sz w:val="24"/>
          <w:szCs w:val="24"/>
          <w:lang w:val="en-US" w:eastAsia="zh-CN"/>
        </w:rPr>
        <w:t>咨询邮箱：ywyuan@sspu.edu.cn</w:t>
      </w:r>
      <w:r>
        <w:rPr>
          <w:rFonts w:hint="eastAsia" w:ascii="Times New Roman" w:hAnsi="Times New Roman" w:eastAsia="华文仿宋" w:cs="Times New Roman"/>
          <w:kern w:val="2"/>
          <w:sz w:val="24"/>
          <w:szCs w:val="24"/>
          <w:lang w:val="en-US" w:eastAsia="zh-CN"/>
        </w:rPr>
        <w:t>、shilei@sspu.edu.cn</w:t>
      </w:r>
      <w:r>
        <w:rPr>
          <w:rFonts w:hint="default" w:ascii="Times New Roman" w:hAnsi="Times New Roman" w:eastAsia="华文仿宋" w:cs="Times New Roman"/>
          <w:kern w:val="2"/>
          <w:sz w:val="24"/>
          <w:szCs w:val="24"/>
          <w:lang w:val="en-US" w:eastAsia="zh-CN"/>
        </w:rPr>
        <w:t>（请在邮件标题注明“微专业咨询”）</w:t>
      </w:r>
    </w:p>
    <w:p w14:paraId="404A8EFF">
      <w:pPr>
        <w:pStyle w:val="7"/>
        <w:keepNext w:val="0"/>
        <w:keepLines w:val="0"/>
        <w:pageBreakBefore w:val="0"/>
        <w:kinsoku/>
        <w:wordWrap/>
        <w:overflowPunct/>
        <w:topLinePunct w:val="0"/>
        <w:bidi w:val="0"/>
        <w:spacing w:line="240" w:lineRule="auto"/>
        <w:ind w:right="57" w:firstLine="480" w:firstLineChars="200"/>
        <w:jc w:val="both"/>
        <w:textAlignment w:val="auto"/>
        <w:rPr>
          <w:rFonts w:hint="default" w:ascii="Times New Roman" w:hAnsi="Times New Roman" w:eastAsia="华文仿宋" w:cs="Times New Roman"/>
          <w:kern w:val="2"/>
          <w:sz w:val="24"/>
          <w:szCs w:val="24"/>
          <w:lang w:val="en-US" w:eastAsia="zh-CN"/>
        </w:rPr>
      </w:pPr>
      <w:r>
        <w:rPr>
          <w:rFonts w:hint="default" w:ascii="Times New Roman" w:hAnsi="Times New Roman" w:eastAsia="华文仿宋" w:cs="Times New Roman"/>
          <w:kern w:val="2"/>
          <w:sz w:val="24"/>
          <w:szCs w:val="24"/>
          <w:lang w:val="en-US" w:eastAsia="zh-CN"/>
        </w:rPr>
        <w:t>咨询地点：29号楼919 智控学院教务办公室</w:t>
      </w:r>
    </w:p>
    <w:p w14:paraId="39358316">
      <w:pPr>
        <w:keepNext w:val="0"/>
        <w:keepLines w:val="0"/>
        <w:pageBreakBefore w:val="0"/>
        <w:kinsoku/>
        <w:wordWrap/>
        <w:overflowPunct/>
        <w:topLinePunct w:val="0"/>
        <w:bidi w:val="0"/>
        <w:adjustRightInd w:val="0"/>
        <w:snapToGrid w:val="0"/>
        <w:spacing w:line="240" w:lineRule="auto"/>
        <w:textAlignment w:val="auto"/>
        <w:rPr>
          <w:rFonts w:hint="eastAsia" w:ascii="仿宋_GB2312" w:eastAsia="仿宋_GB2312"/>
          <w:sz w:val="24"/>
          <w:szCs w:val="24"/>
        </w:rPr>
      </w:pPr>
    </w:p>
    <w:p w14:paraId="00BE8BA2">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textAlignment w:val="auto"/>
        <w:rPr>
          <w:rFonts w:hint="eastAsia" w:ascii="仿宋_GB2312" w:hAnsi="宋体" w:eastAsia="仿宋_GB2312" w:cs="宋体"/>
          <w:b/>
          <w:sz w:val="28"/>
          <w:szCs w:val="28"/>
          <w:lang w:val="en-US" w:eastAsia="zh-CN"/>
        </w:rPr>
      </w:pPr>
      <w:r>
        <w:rPr>
          <w:rFonts w:hint="eastAsia" w:ascii="仿宋_GB2312" w:eastAsia="仿宋_GB2312" w:cs="宋体"/>
          <w:b/>
          <w:sz w:val="28"/>
          <w:szCs w:val="28"/>
          <w:lang w:val="en-US" w:eastAsia="zh-CN"/>
        </w:rPr>
        <w:t>八</w:t>
      </w:r>
      <w:r>
        <w:rPr>
          <w:rFonts w:hint="eastAsia" w:ascii="仿宋_GB2312" w:hAnsi="宋体" w:eastAsia="仿宋_GB2312" w:cs="宋体"/>
          <w:b/>
          <w:sz w:val="28"/>
          <w:szCs w:val="28"/>
          <w:lang w:val="en-US" w:eastAsia="zh-CN"/>
        </w:rPr>
        <w:t>、课程设置</w:t>
      </w:r>
    </w:p>
    <w:p w14:paraId="0B465C1A">
      <w:pPr>
        <w:keepNext w:val="0"/>
        <w:keepLines w:val="0"/>
        <w:pageBreakBefore w:val="0"/>
        <w:kinsoku/>
        <w:wordWrap/>
        <w:overflowPunct/>
        <w:topLinePunct w:val="0"/>
        <w:bidi w:val="0"/>
        <w:adjustRightInd w:val="0"/>
        <w:snapToGrid w:val="0"/>
        <w:spacing w:line="240" w:lineRule="auto"/>
        <w:ind w:left="480"/>
        <w:jc w:val="center"/>
        <w:textAlignment w:val="auto"/>
        <w:rPr>
          <w:rFonts w:ascii="黑体" w:eastAsia="黑体"/>
          <w:b/>
          <w:sz w:val="24"/>
        </w:rPr>
      </w:pPr>
      <w:r>
        <w:rPr>
          <w:rFonts w:hint="eastAsia" w:ascii="黑体" w:eastAsia="黑体"/>
          <w:b/>
          <w:sz w:val="24"/>
        </w:rPr>
        <w:t>集成电路技术与应用微专业课程设置及教学进程计划表</w:t>
      </w:r>
    </w:p>
    <w:tbl>
      <w:tblPr>
        <w:tblStyle w:val="4"/>
        <w:tblpPr w:leftFromText="180" w:rightFromText="180" w:vertAnchor="text" w:horzAnchor="page" w:tblpX="732" w:tblpY="296"/>
        <w:tblOverlap w:val="never"/>
        <w:tblW w:w="10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691"/>
        <w:gridCol w:w="719"/>
        <w:gridCol w:w="992"/>
        <w:gridCol w:w="851"/>
        <w:gridCol w:w="992"/>
        <w:gridCol w:w="1352"/>
        <w:gridCol w:w="1245"/>
        <w:gridCol w:w="1102"/>
      </w:tblGrid>
      <w:tr w14:paraId="48CE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Merge w:val="restart"/>
            <w:vAlign w:val="center"/>
          </w:tcPr>
          <w:p w14:paraId="03A450A7">
            <w:pPr>
              <w:keepNext w:val="0"/>
              <w:keepLines w:val="0"/>
              <w:pageBreakBefore w:val="0"/>
              <w:kinsoku/>
              <w:wordWrap/>
              <w:overflowPunct/>
              <w:topLinePunct w:val="0"/>
              <w:bidi w:val="0"/>
              <w:spacing w:line="240" w:lineRule="auto"/>
              <w:jc w:val="center"/>
              <w:textAlignment w:val="auto"/>
              <w:rPr>
                <w:rFonts w:ascii="仿宋" w:hAnsi="仿宋" w:eastAsia="仿宋"/>
                <w:bCs/>
                <w:sz w:val="24"/>
                <w:szCs w:val="24"/>
              </w:rPr>
            </w:pPr>
            <w:r>
              <w:rPr>
                <w:rFonts w:hint="eastAsia" w:ascii="仿宋" w:hAnsi="仿宋" w:eastAsia="仿宋"/>
                <w:bCs/>
                <w:sz w:val="24"/>
                <w:szCs w:val="24"/>
              </w:rPr>
              <w:t>序号</w:t>
            </w:r>
          </w:p>
        </w:tc>
        <w:tc>
          <w:tcPr>
            <w:tcW w:w="1691" w:type="dxa"/>
            <w:vMerge w:val="restart"/>
            <w:vAlign w:val="center"/>
          </w:tcPr>
          <w:p w14:paraId="7ADF7BC5">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z w:val="24"/>
                <w:szCs w:val="24"/>
              </w:rPr>
              <w:t>课程名称</w:t>
            </w:r>
          </w:p>
        </w:tc>
        <w:tc>
          <w:tcPr>
            <w:tcW w:w="719" w:type="dxa"/>
            <w:vMerge w:val="restart"/>
            <w:vAlign w:val="center"/>
          </w:tcPr>
          <w:p w14:paraId="2B1CF97C">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z w:val="24"/>
                <w:szCs w:val="24"/>
              </w:rPr>
              <w:t>学分</w:t>
            </w:r>
          </w:p>
        </w:tc>
        <w:tc>
          <w:tcPr>
            <w:tcW w:w="2835" w:type="dxa"/>
            <w:gridSpan w:val="3"/>
          </w:tcPr>
          <w:p w14:paraId="519E4B2A">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pacing w:val="30"/>
                <w:kern w:val="0"/>
                <w:sz w:val="24"/>
                <w:szCs w:val="24"/>
                <w:fitText w:val="840" w:id="2102736521"/>
              </w:rPr>
              <w:t>学时</w:t>
            </w:r>
            <w:r>
              <w:rPr>
                <w:rFonts w:hint="eastAsia" w:ascii="仿宋" w:hAnsi="仿宋" w:eastAsia="仿宋"/>
                <w:bCs/>
                <w:spacing w:val="0"/>
                <w:kern w:val="0"/>
                <w:sz w:val="24"/>
                <w:szCs w:val="24"/>
                <w:fitText w:val="840" w:id="2102736521"/>
              </w:rPr>
              <w:t>数</w:t>
            </w:r>
          </w:p>
        </w:tc>
        <w:tc>
          <w:tcPr>
            <w:tcW w:w="1352" w:type="dxa"/>
            <w:vMerge w:val="restart"/>
            <w:vAlign w:val="center"/>
          </w:tcPr>
          <w:p w14:paraId="3B3E432B">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pacing w:val="20"/>
                <w:sz w:val="24"/>
                <w:szCs w:val="24"/>
              </w:rPr>
              <w:t>授课方式（混合、线下）</w:t>
            </w:r>
          </w:p>
        </w:tc>
        <w:tc>
          <w:tcPr>
            <w:tcW w:w="1245" w:type="dxa"/>
            <w:vMerge w:val="restart"/>
            <w:vAlign w:val="center"/>
          </w:tcPr>
          <w:p w14:paraId="12982FB1">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pacing w:val="20"/>
                <w:sz w:val="24"/>
                <w:szCs w:val="24"/>
              </w:rPr>
              <w:t>开课</w:t>
            </w:r>
          </w:p>
          <w:p w14:paraId="28660675">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bCs/>
                <w:spacing w:val="20"/>
                <w:sz w:val="24"/>
                <w:szCs w:val="24"/>
              </w:rPr>
            </w:pPr>
            <w:r>
              <w:rPr>
                <w:rFonts w:hint="eastAsia" w:ascii="仿宋" w:hAnsi="仿宋" w:eastAsia="仿宋"/>
                <w:bCs/>
                <w:spacing w:val="20"/>
                <w:sz w:val="24"/>
                <w:szCs w:val="24"/>
              </w:rPr>
              <w:t>学期</w:t>
            </w:r>
          </w:p>
        </w:tc>
        <w:tc>
          <w:tcPr>
            <w:tcW w:w="1102" w:type="dxa"/>
            <w:vMerge w:val="restart"/>
            <w:vAlign w:val="center"/>
          </w:tcPr>
          <w:p w14:paraId="35CD03E4">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bCs/>
                <w:spacing w:val="20"/>
                <w:sz w:val="24"/>
                <w:szCs w:val="24"/>
                <w:lang w:val="en-US" w:eastAsia="zh-CN"/>
              </w:rPr>
            </w:pPr>
            <w:r>
              <w:rPr>
                <w:rFonts w:hint="eastAsia" w:ascii="仿宋" w:hAnsi="仿宋" w:eastAsia="仿宋"/>
                <w:bCs/>
                <w:spacing w:val="20"/>
                <w:sz w:val="24"/>
                <w:szCs w:val="24"/>
                <w:lang w:val="en-US" w:eastAsia="zh-CN"/>
              </w:rPr>
              <w:t>考核</w:t>
            </w:r>
          </w:p>
          <w:p w14:paraId="072B1281">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bCs/>
                <w:spacing w:val="20"/>
                <w:sz w:val="24"/>
                <w:szCs w:val="24"/>
                <w:lang w:val="en-US" w:eastAsia="zh-CN"/>
              </w:rPr>
            </w:pPr>
            <w:r>
              <w:rPr>
                <w:rFonts w:hint="eastAsia" w:ascii="仿宋" w:hAnsi="仿宋" w:eastAsia="仿宋"/>
                <w:bCs/>
                <w:spacing w:val="20"/>
                <w:sz w:val="24"/>
                <w:szCs w:val="24"/>
                <w:lang w:val="en-US" w:eastAsia="zh-CN"/>
              </w:rPr>
              <w:t>方式</w:t>
            </w:r>
          </w:p>
        </w:tc>
      </w:tr>
      <w:tr w14:paraId="4916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Merge w:val="continue"/>
          </w:tcPr>
          <w:p w14:paraId="7EAD9964">
            <w:pPr>
              <w:keepNext w:val="0"/>
              <w:keepLines w:val="0"/>
              <w:pageBreakBefore w:val="0"/>
              <w:widowControl/>
              <w:kinsoku/>
              <w:wordWrap/>
              <w:overflowPunct/>
              <w:topLinePunct w:val="0"/>
              <w:bidi w:val="0"/>
              <w:spacing w:line="240" w:lineRule="auto"/>
              <w:jc w:val="center"/>
              <w:textAlignment w:val="auto"/>
              <w:rPr>
                <w:rFonts w:ascii="仿宋" w:hAnsi="仿宋" w:eastAsia="仿宋"/>
                <w:b/>
                <w:spacing w:val="20"/>
                <w:sz w:val="24"/>
                <w:szCs w:val="24"/>
              </w:rPr>
            </w:pPr>
          </w:p>
        </w:tc>
        <w:tc>
          <w:tcPr>
            <w:tcW w:w="1691" w:type="dxa"/>
            <w:vMerge w:val="continue"/>
            <w:vAlign w:val="center"/>
          </w:tcPr>
          <w:p w14:paraId="028EA841">
            <w:pPr>
              <w:keepNext w:val="0"/>
              <w:keepLines w:val="0"/>
              <w:pageBreakBefore w:val="0"/>
              <w:widowControl/>
              <w:kinsoku/>
              <w:wordWrap/>
              <w:overflowPunct/>
              <w:topLinePunct w:val="0"/>
              <w:bidi w:val="0"/>
              <w:spacing w:line="240" w:lineRule="auto"/>
              <w:jc w:val="center"/>
              <w:textAlignment w:val="auto"/>
              <w:rPr>
                <w:rFonts w:ascii="仿宋" w:hAnsi="仿宋" w:eastAsia="仿宋"/>
                <w:b/>
                <w:spacing w:val="20"/>
                <w:sz w:val="24"/>
                <w:szCs w:val="24"/>
              </w:rPr>
            </w:pPr>
          </w:p>
        </w:tc>
        <w:tc>
          <w:tcPr>
            <w:tcW w:w="719" w:type="dxa"/>
            <w:vMerge w:val="continue"/>
            <w:vAlign w:val="center"/>
          </w:tcPr>
          <w:p w14:paraId="28DD306D">
            <w:pPr>
              <w:keepNext w:val="0"/>
              <w:keepLines w:val="0"/>
              <w:pageBreakBefore w:val="0"/>
              <w:widowControl/>
              <w:kinsoku/>
              <w:wordWrap/>
              <w:overflowPunct/>
              <w:topLinePunct w:val="0"/>
              <w:bidi w:val="0"/>
              <w:spacing w:line="240" w:lineRule="auto"/>
              <w:jc w:val="center"/>
              <w:textAlignment w:val="auto"/>
              <w:rPr>
                <w:rFonts w:ascii="仿宋" w:hAnsi="仿宋" w:eastAsia="仿宋"/>
                <w:b/>
                <w:spacing w:val="20"/>
                <w:sz w:val="24"/>
                <w:szCs w:val="24"/>
              </w:rPr>
            </w:pPr>
          </w:p>
        </w:tc>
        <w:tc>
          <w:tcPr>
            <w:tcW w:w="992" w:type="dxa"/>
            <w:vAlign w:val="center"/>
          </w:tcPr>
          <w:p w14:paraId="76F72E8D">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z w:val="24"/>
                <w:szCs w:val="24"/>
              </w:rPr>
              <w:t>总学时</w:t>
            </w:r>
          </w:p>
        </w:tc>
        <w:tc>
          <w:tcPr>
            <w:tcW w:w="851" w:type="dxa"/>
            <w:vAlign w:val="center"/>
          </w:tcPr>
          <w:p w14:paraId="5B4D2D67">
            <w:pPr>
              <w:keepNext w:val="0"/>
              <w:keepLines w:val="0"/>
              <w:pageBreakBefore w:val="0"/>
              <w:widowControl/>
              <w:kinsoku/>
              <w:wordWrap/>
              <w:overflowPunct/>
              <w:topLinePunct w:val="0"/>
              <w:bidi w:val="0"/>
              <w:spacing w:line="240" w:lineRule="auto"/>
              <w:jc w:val="center"/>
              <w:textAlignment w:val="auto"/>
              <w:rPr>
                <w:rFonts w:ascii="仿宋" w:hAnsi="仿宋" w:eastAsia="仿宋"/>
                <w:bCs/>
                <w:sz w:val="24"/>
                <w:szCs w:val="24"/>
              </w:rPr>
            </w:pPr>
            <w:r>
              <w:rPr>
                <w:rFonts w:hint="eastAsia" w:ascii="仿宋" w:hAnsi="仿宋" w:eastAsia="仿宋"/>
                <w:bCs/>
                <w:sz w:val="24"/>
                <w:szCs w:val="24"/>
              </w:rPr>
              <w:t>理论</w:t>
            </w:r>
          </w:p>
          <w:p w14:paraId="573EE176">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z w:val="24"/>
                <w:szCs w:val="24"/>
              </w:rPr>
              <w:t>学时</w:t>
            </w:r>
          </w:p>
        </w:tc>
        <w:tc>
          <w:tcPr>
            <w:tcW w:w="992" w:type="dxa"/>
            <w:vAlign w:val="center"/>
          </w:tcPr>
          <w:p w14:paraId="4C4828C6">
            <w:pPr>
              <w:keepNext w:val="0"/>
              <w:keepLines w:val="0"/>
              <w:pageBreakBefore w:val="0"/>
              <w:widowControl/>
              <w:kinsoku/>
              <w:wordWrap/>
              <w:overflowPunct/>
              <w:topLinePunct w:val="0"/>
              <w:bidi w:val="0"/>
              <w:spacing w:line="240" w:lineRule="auto"/>
              <w:jc w:val="center"/>
              <w:textAlignment w:val="auto"/>
              <w:rPr>
                <w:rFonts w:ascii="仿宋" w:hAnsi="仿宋" w:eastAsia="仿宋"/>
                <w:bCs/>
                <w:sz w:val="24"/>
                <w:szCs w:val="24"/>
              </w:rPr>
            </w:pPr>
            <w:r>
              <w:rPr>
                <w:rFonts w:hint="eastAsia" w:ascii="仿宋" w:hAnsi="仿宋" w:eastAsia="仿宋"/>
                <w:bCs/>
                <w:sz w:val="24"/>
                <w:szCs w:val="24"/>
              </w:rPr>
              <w:t>实践</w:t>
            </w:r>
          </w:p>
          <w:p w14:paraId="71B59B5D">
            <w:pPr>
              <w:keepNext w:val="0"/>
              <w:keepLines w:val="0"/>
              <w:pageBreakBefore w:val="0"/>
              <w:widowControl/>
              <w:kinsoku/>
              <w:wordWrap/>
              <w:overflowPunct/>
              <w:topLinePunct w:val="0"/>
              <w:bidi w:val="0"/>
              <w:spacing w:line="240" w:lineRule="auto"/>
              <w:jc w:val="center"/>
              <w:textAlignment w:val="auto"/>
              <w:rPr>
                <w:rFonts w:ascii="仿宋" w:hAnsi="仿宋" w:eastAsia="仿宋"/>
                <w:bCs/>
                <w:spacing w:val="20"/>
                <w:sz w:val="24"/>
                <w:szCs w:val="24"/>
              </w:rPr>
            </w:pPr>
            <w:r>
              <w:rPr>
                <w:rFonts w:hint="eastAsia" w:ascii="仿宋" w:hAnsi="仿宋" w:eastAsia="仿宋"/>
                <w:bCs/>
                <w:sz w:val="24"/>
                <w:szCs w:val="24"/>
              </w:rPr>
              <w:t>学时</w:t>
            </w:r>
          </w:p>
        </w:tc>
        <w:tc>
          <w:tcPr>
            <w:tcW w:w="1352" w:type="dxa"/>
            <w:vMerge w:val="continue"/>
            <w:vAlign w:val="center"/>
          </w:tcPr>
          <w:p w14:paraId="5FD932D4">
            <w:pPr>
              <w:keepNext w:val="0"/>
              <w:keepLines w:val="0"/>
              <w:pageBreakBefore w:val="0"/>
              <w:widowControl/>
              <w:kinsoku/>
              <w:wordWrap/>
              <w:overflowPunct/>
              <w:topLinePunct w:val="0"/>
              <w:bidi w:val="0"/>
              <w:spacing w:line="240" w:lineRule="auto"/>
              <w:jc w:val="center"/>
              <w:textAlignment w:val="auto"/>
              <w:rPr>
                <w:rFonts w:ascii="仿宋" w:hAnsi="仿宋" w:eastAsia="仿宋"/>
                <w:b/>
                <w:spacing w:val="20"/>
                <w:sz w:val="24"/>
                <w:szCs w:val="24"/>
              </w:rPr>
            </w:pPr>
          </w:p>
        </w:tc>
        <w:tc>
          <w:tcPr>
            <w:tcW w:w="1245" w:type="dxa"/>
            <w:vMerge w:val="continue"/>
            <w:vAlign w:val="center"/>
          </w:tcPr>
          <w:p w14:paraId="6508615D">
            <w:pPr>
              <w:keepNext w:val="0"/>
              <w:keepLines w:val="0"/>
              <w:pageBreakBefore w:val="0"/>
              <w:widowControl/>
              <w:kinsoku/>
              <w:wordWrap/>
              <w:overflowPunct/>
              <w:topLinePunct w:val="0"/>
              <w:bidi w:val="0"/>
              <w:spacing w:line="240" w:lineRule="auto"/>
              <w:jc w:val="center"/>
              <w:textAlignment w:val="auto"/>
              <w:rPr>
                <w:rFonts w:ascii="仿宋" w:hAnsi="仿宋" w:eastAsia="仿宋"/>
                <w:b/>
                <w:spacing w:val="20"/>
                <w:sz w:val="21"/>
                <w:szCs w:val="21"/>
              </w:rPr>
            </w:pPr>
          </w:p>
        </w:tc>
        <w:tc>
          <w:tcPr>
            <w:tcW w:w="1102" w:type="dxa"/>
            <w:vMerge w:val="continue"/>
            <w:vAlign w:val="center"/>
          </w:tcPr>
          <w:p w14:paraId="7CD5D051">
            <w:pPr>
              <w:keepNext w:val="0"/>
              <w:keepLines w:val="0"/>
              <w:pageBreakBefore w:val="0"/>
              <w:widowControl/>
              <w:kinsoku/>
              <w:wordWrap/>
              <w:overflowPunct/>
              <w:topLinePunct w:val="0"/>
              <w:bidi w:val="0"/>
              <w:spacing w:line="240" w:lineRule="auto"/>
              <w:jc w:val="center"/>
              <w:textAlignment w:val="auto"/>
              <w:rPr>
                <w:rFonts w:ascii="仿宋" w:hAnsi="仿宋" w:eastAsia="仿宋"/>
                <w:b/>
                <w:spacing w:val="20"/>
                <w:sz w:val="21"/>
                <w:szCs w:val="21"/>
              </w:rPr>
            </w:pPr>
          </w:p>
        </w:tc>
      </w:tr>
      <w:tr w14:paraId="23EF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4F84A08F">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bCs/>
                <w:sz w:val="24"/>
                <w:szCs w:val="24"/>
                <w:lang w:eastAsia="zh-CN"/>
              </w:rPr>
            </w:pPr>
            <w:r>
              <w:rPr>
                <w:rFonts w:hint="eastAsia" w:ascii="仿宋" w:hAnsi="仿宋" w:eastAsia="仿宋"/>
                <w:bCs/>
                <w:sz w:val="24"/>
                <w:szCs w:val="24"/>
                <w:lang w:val="en-US" w:eastAsia="zh-CN"/>
              </w:rPr>
              <w:t>1</w:t>
            </w:r>
          </w:p>
        </w:tc>
        <w:tc>
          <w:tcPr>
            <w:tcW w:w="1691" w:type="dxa"/>
            <w:vAlign w:val="center"/>
          </w:tcPr>
          <w:p w14:paraId="1B36249C">
            <w:pPr>
              <w:widowControl/>
              <w:jc w:val="center"/>
              <w:rPr>
                <w:rFonts w:ascii="仿宋" w:hAnsi="仿宋" w:eastAsia="仿宋"/>
                <w:bCs/>
                <w:sz w:val="24"/>
                <w:szCs w:val="24"/>
              </w:rPr>
            </w:pPr>
            <w:r>
              <w:rPr>
                <w:rFonts w:hint="eastAsia" w:ascii="华文仿宋" w:hAnsi="华文仿宋" w:eastAsia="华文仿宋" w:cs="华文仿宋"/>
                <w:sz w:val="24"/>
                <w:szCs w:val="24"/>
                <w:lang w:val="en-US" w:eastAsia="zh-CN"/>
              </w:rPr>
              <w:t>集成电路导论</w:t>
            </w:r>
          </w:p>
        </w:tc>
        <w:tc>
          <w:tcPr>
            <w:tcW w:w="719" w:type="dxa"/>
            <w:vAlign w:val="center"/>
          </w:tcPr>
          <w:p w14:paraId="1356528B">
            <w:pPr>
              <w:keepNext w:val="0"/>
              <w:keepLines w:val="0"/>
              <w:pageBreakBefore w:val="0"/>
              <w:widowControl/>
              <w:kinsoku/>
              <w:wordWrap/>
              <w:overflowPunct/>
              <w:topLinePunct w:val="0"/>
              <w:bidi w:val="0"/>
              <w:spacing w:line="240" w:lineRule="auto"/>
              <w:jc w:val="center"/>
              <w:textAlignment w:val="auto"/>
              <w:rPr>
                <w:rFonts w:ascii="仿宋" w:hAnsi="仿宋" w:eastAsia="仿宋"/>
                <w:bCs/>
                <w:sz w:val="24"/>
                <w:szCs w:val="24"/>
              </w:rPr>
            </w:pPr>
            <w:r>
              <w:rPr>
                <w:rFonts w:hint="eastAsia" w:ascii="仿宋" w:hAnsi="仿宋" w:eastAsia="仿宋"/>
                <w:bCs/>
                <w:sz w:val="24"/>
                <w:szCs w:val="24"/>
              </w:rPr>
              <w:t>2</w:t>
            </w:r>
          </w:p>
        </w:tc>
        <w:tc>
          <w:tcPr>
            <w:tcW w:w="992" w:type="dxa"/>
            <w:vAlign w:val="center"/>
          </w:tcPr>
          <w:p w14:paraId="6BBAB3F7">
            <w:pPr>
              <w:keepNext w:val="0"/>
              <w:keepLines w:val="0"/>
              <w:pageBreakBefore w:val="0"/>
              <w:widowControl/>
              <w:kinsoku/>
              <w:wordWrap/>
              <w:overflowPunct/>
              <w:topLinePunct w:val="0"/>
              <w:bidi w:val="0"/>
              <w:spacing w:line="240" w:lineRule="auto"/>
              <w:jc w:val="center"/>
              <w:textAlignment w:val="auto"/>
              <w:rPr>
                <w:rFonts w:ascii="仿宋" w:hAnsi="仿宋" w:eastAsia="仿宋"/>
                <w:bCs/>
                <w:sz w:val="24"/>
                <w:szCs w:val="24"/>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57C1BACA">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992" w:type="dxa"/>
            <w:vAlign w:val="center"/>
          </w:tcPr>
          <w:p w14:paraId="50F85967">
            <w:pPr>
              <w:keepNext w:val="0"/>
              <w:keepLines w:val="0"/>
              <w:pageBreakBefore w:val="0"/>
              <w:widowControl/>
              <w:kinsoku/>
              <w:wordWrap/>
              <w:overflowPunct/>
              <w:topLinePunct w:val="0"/>
              <w:bidi w:val="0"/>
              <w:spacing w:line="240" w:lineRule="auto"/>
              <w:jc w:val="center"/>
              <w:textAlignment w:val="auto"/>
              <w:rPr>
                <w:rFonts w:ascii="仿宋" w:hAnsi="仿宋" w:eastAsia="仿宋"/>
                <w:bCs/>
                <w:sz w:val="24"/>
                <w:szCs w:val="24"/>
              </w:rPr>
            </w:pPr>
            <w:r>
              <w:rPr>
                <w:rFonts w:hint="eastAsia" w:ascii="仿宋" w:hAnsi="仿宋" w:eastAsia="仿宋"/>
                <w:bCs/>
                <w:sz w:val="24"/>
                <w:szCs w:val="24"/>
                <w:lang w:val="en-US" w:eastAsia="zh-CN"/>
              </w:rPr>
              <w:t>0</w:t>
            </w:r>
          </w:p>
        </w:tc>
        <w:tc>
          <w:tcPr>
            <w:tcW w:w="1352" w:type="dxa"/>
            <w:vAlign w:val="center"/>
          </w:tcPr>
          <w:p w14:paraId="0423F435">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245" w:type="dxa"/>
            <w:vAlign w:val="center"/>
          </w:tcPr>
          <w:p w14:paraId="48DFBB32">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bCs/>
                <w:sz w:val="24"/>
                <w:szCs w:val="24"/>
                <w:lang w:val="en-US" w:eastAsia="zh-CN"/>
              </w:rPr>
            </w:pPr>
            <w:r>
              <w:rPr>
                <w:rFonts w:hint="eastAsia" w:ascii="仿宋" w:hAnsi="仿宋" w:eastAsia="仿宋"/>
                <w:bCs/>
                <w:sz w:val="24"/>
                <w:szCs w:val="24"/>
                <w:lang w:val="en-US" w:eastAsia="zh-CN"/>
              </w:rPr>
              <w:t>微专业一</w:t>
            </w:r>
          </w:p>
        </w:tc>
        <w:tc>
          <w:tcPr>
            <w:tcW w:w="1102" w:type="dxa"/>
            <w:vAlign w:val="center"/>
          </w:tcPr>
          <w:p w14:paraId="68D73AF1">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537A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315436C9">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bCs/>
                <w:sz w:val="24"/>
                <w:szCs w:val="24"/>
                <w:lang w:val="en-US" w:eastAsia="zh-CN"/>
              </w:rPr>
            </w:pPr>
            <w:r>
              <w:rPr>
                <w:rFonts w:hint="eastAsia" w:ascii="仿宋" w:hAnsi="仿宋" w:eastAsia="仿宋"/>
                <w:bCs/>
                <w:sz w:val="24"/>
                <w:szCs w:val="24"/>
                <w:lang w:val="en-US" w:eastAsia="zh-CN"/>
              </w:rPr>
              <w:t>2</w:t>
            </w:r>
          </w:p>
        </w:tc>
        <w:tc>
          <w:tcPr>
            <w:tcW w:w="1691" w:type="dxa"/>
            <w:vAlign w:val="center"/>
          </w:tcPr>
          <w:p w14:paraId="7FA9DEDB">
            <w:pPr>
              <w:widowControl/>
              <w:jc w:val="center"/>
              <w:rPr>
                <w:rFonts w:hint="default"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数字系统设计基础</w:t>
            </w:r>
          </w:p>
        </w:tc>
        <w:tc>
          <w:tcPr>
            <w:tcW w:w="719" w:type="dxa"/>
            <w:vAlign w:val="center"/>
          </w:tcPr>
          <w:p w14:paraId="680D1D03">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w:t>
            </w:r>
          </w:p>
        </w:tc>
        <w:tc>
          <w:tcPr>
            <w:tcW w:w="992" w:type="dxa"/>
            <w:vAlign w:val="center"/>
          </w:tcPr>
          <w:p w14:paraId="0E7D7A91">
            <w:pPr>
              <w:keepNext w:val="0"/>
              <w:keepLines w:val="0"/>
              <w:pageBreakBefore w:val="0"/>
              <w:widowControl/>
              <w:kinsoku/>
              <w:wordWrap/>
              <w:overflowPunct/>
              <w:topLinePunct w:val="0"/>
              <w:bidi w:val="0"/>
              <w:spacing w:line="240" w:lineRule="auto"/>
              <w:jc w:val="center"/>
              <w:textAlignment w:val="auto"/>
              <w:rPr>
                <w:rFonts w:ascii="仿宋" w:hAnsi="仿宋" w:eastAsia="仿宋" w:cs="宋体"/>
                <w:bCs/>
                <w:kern w:val="0"/>
                <w:sz w:val="24"/>
                <w:szCs w:val="24"/>
                <w:lang w:val="en-US" w:eastAsia="zh-CN" w:bidi="ar-SA"/>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3818238F">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26</w:t>
            </w:r>
          </w:p>
        </w:tc>
        <w:tc>
          <w:tcPr>
            <w:tcW w:w="992" w:type="dxa"/>
            <w:vAlign w:val="center"/>
          </w:tcPr>
          <w:p w14:paraId="6D85B946">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6</w:t>
            </w:r>
          </w:p>
        </w:tc>
        <w:tc>
          <w:tcPr>
            <w:tcW w:w="1352" w:type="dxa"/>
            <w:vAlign w:val="center"/>
          </w:tcPr>
          <w:p w14:paraId="5520E31C">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混合</w:t>
            </w:r>
          </w:p>
        </w:tc>
        <w:tc>
          <w:tcPr>
            <w:tcW w:w="1245" w:type="dxa"/>
            <w:vAlign w:val="center"/>
          </w:tcPr>
          <w:p w14:paraId="6741609E">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bCs/>
                <w:sz w:val="24"/>
                <w:szCs w:val="24"/>
                <w:lang w:val="en-US" w:eastAsia="zh-CN"/>
              </w:rPr>
            </w:pPr>
            <w:r>
              <w:rPr>
                <w:rFonts w:hint="eastAsia" w:ascii="仿宋" w:hAnsi="仿宋" w:eastAsia="仿宋"/>
                <w:bCs/>
                <w:sz w:val="24"/>
                <w:szCs w:val="24"/>
                <w:lang w:val="en-US" w:eastAsia="zh-CN"/>
              </w:rPr>
              <w:t>微专业一</w:t>
            </w:r>
          </w:p>
        </w:tc>
        <w:tc>
          <w:tcPr>
            <w:tcW w:w="1102" w:type="dxa"/>
            <w:vAlign w:val="center"/>
          </w:tcPr>
          <w:p w14:paraId="2C9AD366">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35FF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10DEB047">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3</w:t>
            </w:r>
          </w:p>
        </w:tc>
        <w:tc>
          <w:tcPr>
            <w:tcW w:w="1691" w:type="dxa"/>
            <w:vAlign w:val="center"/>
          </w:tcPr>
          <w:p w14:paraId="1134A752">
            <w:pPr>
              <w:widowControl/>
              <w:jc w:val="center"/>
              <w:rPr>
                <w:rFonts w:hint="default" w:ascii="Times New Roman" w:hAnsi="Times New Roman" w:eastAsia="华文仿宋" w:cs="Times New Roman"/>
                <w:kern w:val="2"/>
                <w:sz w:val="24"/>
                <w:szCs w:val="24"/>
                <w:lang w:val="en-US" w:eastAsia="zh-CN" w:bidi="ar-SA"/>
              </w:rPr>
            </w:pPr>
            <w:r>
              <w:rPr>
                <w:rFonts w:hint="eastAsia" w:ascii="Times New Roman" w:hAnsi="Times New Roman" w:eastAsia="华文仿宋" w:cs="Times New Roman"/>
                <w:kern w:val="2"/>
                <w:sz w:val="24"/>
                <w:szCs w:val="24"/>
                <w:lang w:val="en-US" w:eastAsia="zh-CN"/>
              </w:rPr>
              <w:t>嵌入式系统与开发</w:t>
            </w:r>
          </w:p>
        </w:tc>
        <w:tc>
          <w:tcPr>
            <w:tcW w:w="719" w:type="dxa"/>
            <w:vAlign w:val="center"/>
          </w:tcPr>
          <w:p w14:paraId="75C36E66">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w:t>
            </w:r>
          </w:p>
        </w:tc>
        <w:tc>
          <w:tcPr>
            <w:tcW w:w="992" w:type="dxa"/>
            <w:vAlign w:val="center"/>
          </w:tcPr>
          <w:p w14:paraId="275936C0">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5D6B039F">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28</w:t>
            </w:r>
          </w:p>
        </w:tc>
        <w:tc>
          <w:tcPr>
            <w:tcW w:w="992" w:type="dxa"/>
            <w:vAlign w:val="center"/>
          </w:tcPr>
          <w:p w14:paraId="76B044EA">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4</w:t>
            </w:r>
          </w:p>
        </w:tc>
        <w:tc>
          <w:tcPr>
            <w:tcW w:w="1352" w:type="dxa"/>
            <w:vAlign w:val="center"/>
          </w:tcPr>
          <w:p w14:paraId="600F27E3">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混合</w:t>
            </w:r>
          </w:p>
        </w:tc>
        <w:tc>
          <w:tcPr>
            <w:tcW w:w="1245" w:type="dxa"/>
            <w:vAlign w:val="center"/>
          </w:tcPr>
          <w:p w14:paraId="0B0F3B4A">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微专业二</w:t>
            </w:r>
          </w:p>
        </w:tc>
        <w:tc>
          <w:tcPr>
            <w:tcW w:w="1102" w:type="dxa"/>
            <w:vAlign w:val="center"/>
          </w:tcPr>
          <w:p w14:paraId="7AFF9E7F">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考查</w:t>
            </w:r>
          </w:p>
        </w:tc>
      </w:tr>
      <w:tr w14:paraId="0388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0F8D97C8">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4</w:t>
            </w:r>
          </w:p>
        </w:tc>
        <w:tc>
          <w:tcPr>
            <w:tcW w:w="1691" w:type="dxa"/>
            <w:vAlign w:val="center"/>
          </w:tcPr>
          <w:p w14:paraId="29778719">
            <w:pPr>
              <w:widowControl/>
              <w:jc w:val="center"/>
              <w:rPr>
                <w:rFonts w:hint="default" w:ascii="仿宋" w:hAnsi="仿宋" w:eastAsia="仿宋" w:cs="宋体"/>
                <w:bCs/>
                <w:kern w:val="0"/>
                <w:sz w:val="24"/>
                <w:szCs w:val="24"/>
                <w:lang w:val="en-US" w:eastAsia="zh-CN" w:bidi="ar-SA"/>
              </w:rPr>
            </w:pPr>
            <w:r>
              <w:rPr>
                <w:rFonts w:hint="eastAsia" w:ascii="Times New Roman" w:hAnsi="Times New Roman" w:eastAsia="华文仿宋" w:cs="Times New Roman"/>
                <w:kern w:val="2"/>
                <w:sz w:val="24"/>
                <w:szCs w:val="24"/>
                <w:lang w:val="en-US" w:eastAsia="zh-CN"/>
              </w:rPr>
              <w:t>集成电路设计与仿真基础</w:t>
            </w:r>
          </w:p>
        </w:tc>
        <w:tc>
          <w:tcPr>
            <w:tcW w:w="719" w:type="dxa"/>
            <w:vAlign w:val="center"/>
          </w:tcPr>
          <w:p w14:paraId="3B34CCD0">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w:t>
            </w:r>
          </w:p>
        </w:tc>
        <w:tc>
          <w:tcPr>
            <w:tcW w:w="992" w:type="dxa"/>
            <w:vAlign w:val="center"/>
          </w:tcPr>
          <w:p w14:paraId="5A3F7960">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1FC995B3">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26</w:t>
            </w:r>
          </w:p>
        </w:tc>
        <w:tc>
          <w:tcPr>
            <w:tcW w:w="992" w:type="dxa"/>
            <w:vAlign w:val="center"/>
          </w:tcPr>
          <w:p w14:paraId="1F7F0B77">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6</w:t>
            </w:r>
          </w:p>
        </w:tc>
        <w:tc>
          <w:tcPr>
            <w:tcW w:w="1352" w:type="dxa"/>
            <w:vAlign w:val="center"/>
          </w:tcPr>
          <w:p w14:paraId="1C9E5A22">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混合</w:t>
            </w:r>
          </w:p>
        </w:tc>
        <w:tc>
          <w:tcPr>
            <w:tcW w:w="1245" w:type="dxa"/>
            <w:vAlign w:val="center"/>
          </w:tcPr>
          <w:p w14:paraId="237AB532">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微专业二</w:t>
            </w:r>
          </w:p>
        </w:tc>
        <w:tc>
          <w:tcPr>
            <w:tcW w:w="1102" w:type="dxa"/>
            <w:vAlign w:val="center"/>
          </w:tcPr>
          <w:p w14:paraId="4838B3C8">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考查</w:t>
            </w:r>
          </w:p>
        </w:tc>
      </w:tr>
      <w:tr w14:paraId="0310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52C652B2">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5</w:t>
            </w:r>
          </w:p>
        </w:tc>
        <w:tc>
          <w:tcPr>
            <w:tcW w:w="1691" w:type="dxa"/>
            <w:vAlign w:val="center"/>
          </w:tcPr>
          <w:p w14:paraId="2BB156E3">
            <w:pPr>
              <w:widowControl/>
              <w:jc w:val="center"/>
              <w:rPr>
                <w:rFonts w:hint="default"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先进设备结构及原理</w:t>
            </w:r>
          </w:p>
        </w:tc>
        <w:tc>
          <w:tcPr>
            <w:tcW w:w="719" w:type="dxa"/>
            <w:vAlign w:val="center"/>
          </w:tcPr>
          <w:p w14:paraId="201B750B">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w:t>
            </w:r>
          </w:p>
        </w:tc>
        <w:tc>
          <w:tcPr>
            <w:tcW w:w="992" w:type="dxa"/>
            <w:vAlign w:val="center"/>
          </w:tcPr>
          <w:p w14:paraId="4F50DF6D">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31661E87">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32</w:t>
            </w:r>
          </w:p>
        </w:tc>
        <w:tc>
          <w:tcPr>
            <w:tcW w:w="992" w:type="dxa"/>
            <w:vAlign w:val="center"/>
          </w:tcPr>
          <w:p w14:paraId="4DE828C9">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0</w:t>
            </w:r>
          </w:p>
        </w:tc>
        <w:tc>
          <w:tcPr>
            <w:tcW w:w="1352" w:type="dxa"/>
            <w:vAlign w:val="center"/>
          </w:tcPr>
          <w:p w14:paraId="5B5430CF">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混合</w:t>
            </w:r>
          </w:p>
        </w:tc>
        <w:tc>
          <w:tcPr>
            <w:tcW w:w="1245" w:type="dxa"/>
            <w:vAlign w:val="center"/>
          </w:tcPr>
          <w:p w14:paraId="28B4970A">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微专业三</w:t>
            </w:r>
          </w:p>
        </w:tc>
        <w:tc>
          <w:tcPr>
            <w:tcW w:w="1102" w:type="dxa"/>
            <w:vAlign w:val="center"/>
          </w:tcPr>
          <w:p w14:paraId="6BE6D664">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考查</w:t>
            </w:r>
          </w:p>
        </w:tc>
      </w:tr>
      <w:tr w14:paraId="39E9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059B8038">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6</w:t>
            </w:r>
          </w:p>
        </w:tc>
        <w:tc>
          <w:tcPr>
            <w:tcW w:w="1691" w:type="dxa"/>
            <w:vAlign w:val="center"/>
          </w:tcPr>
          <w:p w14:paraId="76E31550">
            <w:pPr>
              <w:widowControl/>
              <w:jc w:val="center"/>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智能工厂系统集成技术</w:t>
            </w:r>
          </w:p>
        </w:tc>
        <w:tc>
          <w:tcPr>
            <w:tcW w:w="719" w:type="dxa"/>
            <w:vAlign w:val="center"/>
          </w:tcPr>
          <w:p w14:paraId="2F6F8144">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2</w:t>
            </w:r>
          </w:p>
        </w:tc>
        <w:tc>
          <w:tcPr>
            <w:tcW w:w="992" w:type="dxa"/>
            <w:vAlign w:val="center"/>
          </w:tcPr>
          <w:p w14:paraId="00CF1BDA">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32</w:t>
            </w:r>
          </w:p>
        </w:tc>
        <w:tc>
          <w:tcPr>
            <w:tcW w:w="851" w:type="dxa"/>
            <w:vAlign w:val="center"/>
          </w:tcPr>
          <w:p w14:paraId="68F0F0FB">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28</w:t>
            </w:r>
          </w:p>
        </w:tc>
        <w:tc>
          <w:tcPr>
            <w:tcW w:w="992" w:type="dxa"/>
            <w:vAlign w:val="center"/>
          </w:tcPr>
          <w:p w14:paraId="12D8E826">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4</w:t>
            </w:r>
          </w:p>
        </w:tc>
        <w:tc>
          <w:tcPr>
            <w:tcW w:w="1352" w:type="dxa"/>
            <w:vAlign w:val="center"/>
          </w:tcPr>
          <w:p w14:paraId="10C99F7A">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混合</w:t>
            </w:r>
          </w:p>
        </w:tc>
        <w:tc>
          <w:tcPr>
            <w:tcW w:w="1245" w:type="dxa"/>
            <w:vAlign w:val="center"/>
          </w:tcPr>
          <w:p w14:paraId="29A0E90D">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微专业三</w:t>
            </w:r>
          </w:p>
        </w:tc>
        <w:tc>
          <w:tcPr>
            <w:tcW w:w="1102" w:type="dxa"/>
            <w:vAlign w:val="center"/>
          </w:tcPr>
          <w:p w14:paraId="00E5DC20">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考查</w:t>
            </w:r>
          </w:p>
        </w:tc>
      </w:tr>
      <w:tr w14:paraId="59BD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0E01009A">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7</w:t>
            </w:r>
          </w:p>
        </w:tc>
        <w:tc>
          <w:tcPr>
            <w:tcW w:w="1691" w:type="dxa"/>
            <w:vAlign w:val="center"/>
          </w:tcPr>
          <w:p w14:paraId="76595D81">
            <w:pPr>
              <w:widowControl/>
              <w:jc w:val="center"/>
              <w:rPr>
                <w:rFonts w:hint="eastAsia" w:ascii="仿宋" w:hAnsi="仿宋" w:eastAsia="仿宋" w:cs="宋体"/>
                <w:bCs/>
                <w:kern w:val="0"/>
                <w:sz w:val="24"/>
                <w:szCs w:val="24"/>
                <w:lang w:val="en-US" w:eastAsia="zh-CN" w:bidi="ar-SA"/>
              </w:rPr>
            </w:pPr>
            <w:r>
              <w:rPr>
                <w:rFonts w:hint="eastAsia" w:ascii="Times New Roman" w:hAnsi="Times New Roman" w:eastAsia="华文仿宋" w:cs="Times New Roman"/>
                <w:kern w:val="2"/>
                <w:sz w:val="24"/>
                <w:szCs w:val="24"/>
                <w:lang w:val="en-US" w:eastAsia="zh-CN"/>
              </w:rPr>
              <w:t>集成电路测试技术</w:t>
            </w:r>
          </w:p>
        </w:tc>
        <w:tc>
          <w:tcPr>
            <w:tcW w:w="719" w:type="dxa"/>
            <w:vAlign w:val="center"/>
          </w:tcPr>
          <w:p w14:paraId="14D08AEF">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w:t>
            </w:r>
          </w:p>
        </w:tc>
        <w:tc>
          <w:tcPr>
            <w:tcW w:w="992" w:type="dxa"/>
            <w:vAlign w:val="center"/>
          </w:tcPr>
          <w:p w14:paraId="52182155">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0D163ABE">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26</w:t>
            </w:r>
          </w:p>
        </w:tc>
        <w:tc>
          <w:tcPr>
            <w:tcW w:w="992" w:type="dxa"/>
            <w:vAlign w:val="center"/>
          </w:tcPr>
          <w:p w14:paraId="3D763C89">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6</w:t>
            </w:r>
          </w:p>
        </w:tc>
        <w:tc>
          <w:tcPr>
            <w:tcW w:w="1352" w:type="dxa"/>
            <w:vAlign w:val="center"/>
          </w:tcPr>
          <w:p w14:paraId="35CFBA7F">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混合</w:t>
            </w:r>
          </w:p>
        </w:tc>
        <w:tc>
          <w:tcPr>
            <w:tcW w:w="1245" w:type="dxa"/>
            <w:vAlign w:val="center"/>
          </w:tcPr>
          <w:p w14:paraId="78752F67">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微专业四</w:t>
            </w:r>
          </w:p>
        </w:tc>
        <w:tc>
          <w:tcPr>
            <w:tcW w:w="1102" w:type="dxa"/>
            <w:vAlign w:val="center"/>
          </w:tcPr>
          <w:p w14:paraId="4E4AD74E">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考查</w:t>
            </w:r>
          </w:p>
        </w:tc>
      </w:tr>
      <w:tr w14:paraId="3167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09969A12">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bidi="ar-SA"/>
              </w:rPr>
              <w:t>8</w:t>
            </w:r>
          </w:p>
        </w:tc>
        <w:tc>
          <w:tcPr>
            <w:tcW w:w="1691" w:type="dxa"/>
            <w:vAlign w:val="center"/>
          </w:tcPr>
          <w:p w14:paraId="2E467E37">
            <w:pPr>
              <w:widowControl/>
              <w:jc w:val="center"/>
              <w:rPr>
                <w:rFonts w:hint="eastAsia" w:ascii="仿宋" w:hAnsi="仿宋" w:eastAsia="仿宋" w:cs="宋体"/>
                <w:bCs/>
                <w:kern w:val="0"/>
                <w:sz w:val="24"/>
                <w:szCs w:val="24"/>
                <w:lang w:val="en-US" w:eastAsia="zh-CN" w:bidi="ar-SA"/>
              </w:rPr>
            </w:pPr>
            <w:r>
              <w:rPr>
                <w:rFonts w:hint="eastAsia" w:ascii="Times New Roman" w:hAnsi="Times New Roman" w:eastAsia="华文仿宋" w:cs="Times New Roman"/>
                <w:kern w:val="2"/>
                <w:sz w:val="24"/>
                <w:szCs w:val="24"/>
                <w:lang w:val="en-US" w:eastAsia="zh-CN"/>
              </w:rPr>
              <w:t>集成电路工艺实践</w:t>
            </w:r>
          </w:p>
        </w:tc>
        <w:tc>
          <w:tcPr>
            <w:tcW w:w="719" w:type="dxa"/>
            <w:vAlign w:val="center"/>
          </w:tcPr>
          <w:p w14:paraId="6AD2E11D">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w:t>
            </w:r>
          </w:p>
        </w:tc>
        <w:tc>
          <w:tcPr>
            <w:tcW w:w="992" w:type="dxa"/>
            <w:vAlign w:val="center"/>
          </w:tcPr>
          <w:p w14:paraId="1618A03D">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32</w:t>
            </w:r>
          </w:p>
        </w:tc>
        <w:tc>
          <w:tcPr>
            <w:tcW w:w="851" w:type="dxa"/>
            <w:vAlign w:val="center"/>
          </w:tcPr>
          <w:p w14:paraId="0AC1D420">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6</w:t>
            </w:r>
          </w:p>
        </w:tc>
        <w:tc>
          <w:tcPr>
            <w:tcW w:w="992" w:type="dxa"/>
            <w:vAlign w:val="center"/>
          </w:tcPr>
          <w:p w14:paraId="49759400">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26</w:t>
            </w:r>
          </w:p>
        </w:tc>
        <w:tc>
          <w:tcPr>
            <w:tcW w:w="1352" w:type="dxa"/>
            <w:vAlign w:val="center"/>
          </w:tcPr>
          <w:p w14:paraId="6972529B">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混合</w:t>
            </w:r>
          </w:p>
        </w:tc>
        <w:tc>
          <w:tcPr>
            <w:tcW w:w="1245" w:type="dxa"/>
            <w:vAlign w:val="center"/>
          </w:tcPr>
          <w:p w14:paraId="7B7A107F">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微专业四</w:t>
            </w:r>
          </w:p>
        </w:tc>
        <w:tc>
          <w:tcPr>
            <w:tcW w:w="1102" w:type="dxa"/>
            <w:vAlign w:val="center"/>
          </w:tcPr>
          <w:p w14:paraId="0A99A699">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lang w:val="en-US" w:eastAsia="zh-CN"/>
              </w:rPr>
              <w:t>考查</w:t>
            </w:r>
          </w:p>
        </w:tc>
      </w:tr>
      <w:tr w14:paraId="2189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96" w:type="dxa"/>
            <w:vAlign w:val="center"/>
          </w:tcPr>
          <w:p w14:paraId="11AA3F5A">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p>
        </w:tc>
        <w:tc>
          <w:tcPr>
            <w:tcW w:w="1691" w:type="dxa"/>
            <w:tcBorders>
              <w:bottom w:val="single" w:color="auto" w:sz="4" w:space="0"/>
            </w:tcBorders>
            <w:vAlign w:val="center"/>
          </w:tcPr>
          <w:p w14:paraId="0940298B">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rPr>
              <w:t>合计</w:t>
            </w:r>
          </w:p>
        </w:tc>
        <w:tc>
          <w:tcPr>
            <w:tcW w:w="719" w:type="dxa"/>
            <w:tcBorders>
              <w:bottom w:val="single" w:color="auto" w:sz="4" w:space="0"/>
            </w:tcBorders>
            <w:vAlign w:val="center"/>
          </w:tcPr>
          <w:p w14:paraId="7265B058">
            <w:pPr>
              <w:keepNext w:val="0"/>
              <w:keepLines w:val="0"/>
              <w:widowControl/>
              <w:suppressLineNumbers w:val="0"/>
              <w:jc w:val="center"/>
              <w:textAlignment w:val="center"/>
              <w:rPr>
                <w:rFonts w:hint="default" w:ascii="仿宋" w:hAnsi="仿宋" w:eastAsia="仿宋" w:cs="宋体"/>
                <w:bCs/>
                <w:kern w:val="0"/>
                <w:sz w:val="24"/>
                <w:szCs w:val="24"/>
                <w:lang w:val="en-US" w:eastAsia="zh-CN" w:bidi="ar-SA"/>
              </w:rPr>
            </w:pPr>
            <w:r>
              <w:rPr>
                <w:rFonts w:hint="eastAsia" w:cs="宋体"/>
                <w:i w:val="0"/>
                <w:iCs w:val="0"/>
                <w:color w:val="000000"/>
                <w:kern w:val="0"/>
                <w:sz w:val="24"/>
                <w:szCs w:val="24"/>
                <w:u w:val="none"/>
                <w:lang w:val="en-US" w:eastAsia="zh-CN" w:bidi="ar"/>
              </w:rPr>
              <w:t>16</w:t>
            </w:r>
          </w:p>
        </w:tc>
        <w:tc>
          <w:tcPr>
            <w:tcW w:w="992" w:type="dxa"/>
            <w:tcBorders>
              <w:bottom w:val="single" w:color="auto" w:sz="4" w:space="0"/>
            </w:tcBorders>
            <w:vAlign w:val="center"/>
          </w:tcPr>
          <w:p w14:paraId="4F16379F">
            <w:pPr>
              <w:keepNext w:val="0"/>
              <w:keepLines w:val="0"/>
              <w:widowControl/>
              <w:suppressLineNumbers w:val="0"/>
              <w:jc w:val="center"/>
              <w:textAlignment w:val="center"/>
              <w:rPr>
                <w:rFonts w:hint="eastAsia" w:ascii="仿宋" w:hAnsi="仿宋" w:eastAsia="仿宋" w:cs="宋体"/>
                <w:bCs/>
                <w:kern w:val="0"/>
                <w:sz w:val="24"/>
                <w:szCs w:val="24"/>
                <w:lang w:val="en-US" w:eastAsia="zh-CN" w:bidi="ar-SA"/>
              </w:rPr>
            </w:pPr>
            <w:r>
              <w:rPr>
                <w:rFonts w:hint="eastAsia" w:cs="宋体"/>
                <w:i w:val="0"/>
                <w:iCs w:val="0"/>
                <w:color w:val="000000"/>
                <w:kern w:val="0"/>
                <w:sz w:val="24"/>
                <w:szCs w:val="24"/>
                <w:u w:val="none"/>
                <w:lang w:val="en-US" w:eastAsia="zh-CN" w:bidi="ar"/>
              </w:rPr>
              <w:t>25</w:t>
            </w:r>
            <w:r>
              <w:rPr>
                <w:rFonts w:hint="eastAsia" w:ascii="宋体" w:hAnsi="宋体" w:eastAsia="宋体" w:cs="宋体"/>
                <w:i w:val="0"/>
                <w:iCs w:val="0"/>
                <w:color w:val="000000"/>
                <w:kern w:val="0"/>
                <w:sz w:val="24"/>
                <w:szCs w:val="24"/>
                <w:u w:val="none"/>
                <w:lang w:val="en-US" w:eastAsia="zh-CN" w:bidi="ar"/>
              </w:rPr>
              <w:t>6</w:t>
            </w:r>
          </w:p>
        </w:tc>
        <w:tc>
          <w:tcPr>
            <w:tcW w:w="851" w:type="dxa"/>
            <w:tcBorders>
              <w:bottom w:val="single" w:color="auto" w:sz="4" w:space="0"/>
            </w:tcBorders>
            <w:vAlign w:val="center"/>
          </w:tcPr>
          <w:p w14:paraId="702A8D4C">
            <w:pPr>
              <w:keepNext w:val="0"/>
              <w:keepLines w:val="0"/>
              <w:widowControl/>
              <w:suppressLineNumbers w:val="0"/>
              <w:jc w:val="center"/>
              <w:textAlignment w:val="center"/>
              <w:rPr>
                <w:rFonts w:hint="default" w:ascii="仿宋" w:hAnsi="仿宋" w:eastAsia="仿宋" w:cs="宋体"/>
                <w:bCs/>
                <w:kern w:val="0"/>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2</w:t>
            </w:r>
            <w:r>
              <w:rPr>
                <w:rFonts w:hint="eastAsia" w:cs="宋体"/>
                <w:i w:val="0"/>
                <w:iCs w:val="0"/>
                <w:color w:val="000000"/>
                <w:kern w:val="0"/>
                <w:sz w:val="24"/>
                <w:szCs w:val="24"/>
                <w:u w:val="none"/>
                <w:lang w:val="en-US" w:eastAsia="zh-CN" w:bidi="ar"/>
              </w:rPr>
              <w:t>04</w:t>
            </w:r>
          </w:p>
        </w:tc>
        <w:tc>
          <w:tcPr>
            <w:tcW w:w="992" w:type="dxa"/>
            <w:tcBorders>
              <w:bottom w:val="single" w:color="auto" w:sz="4" w:space="0"/>
            </w:tcBorders>
            <w:vAlign w:val="center"/>
          </w:tcPr>
          <w:p w14:paraId="74C61056">
            <w:pPr>
              <w:keepNext w:val="0"/>
              <w:keepLines w:val="0"/>
              <w:widowControl/>
              <w:suppressLineNumbers w:val="0"/>
              <w:jc w:val="center"/>
              <w:textAlignment w:val="center"/>
              <w:rPr>
                <w:rFonts w:hint="default" w:ascii="仿宋" w:hAnsi="仿宋" w:eastAsia="仿宋" w:cs="宋体"/>
                <w:bCs/>
                <w:kern w:val="0"/>
                <w:sz w:val="24"/>
                <w:szCs w:val="24"/>
                <w:lang w:val="en-US" w:eastAsia="zh-CN" w:bidi="ar-SA"/>
              </w:rPr>
            </w:pPr>
            <w:r>
              <w:rPr>
                <w:rFonts w:hint="eastAsia" w:cs="宋体"/>
                <w:i w:val="0"/>
                <w:iCs w:val="0"/>
                <w:color w:val="000000"/>
                <w:kern w:val="0"/>
                <w:sz w:val="24"/>
                <w:szCs w:val="24"/>
                <w:u w:val="none"/>
                <w:lang w:val="en-US" w:eastAsia="zh-CN" w:bidi="ar"/>
              </w:rPr>
              <w:t>52</w:t>
            </w:r>
          </w:p>
        </w:tc>
        <w:tc>
          <w:tcPr>
            <w:tcW w:w="1352" w:type="dxa"/>
            <w:tcBorders>
              <w:bottom w:val="single" w:color="auto" w:sz="4" w:space="0"/>
            </w:tcBorders>
            <w:vAlign w:val="center"/>
          </w:tcPr>
          <w:p w14:paraId="288C1221">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rPr>
              <w:t>-</w:t>
            </w:r>
          </w:p>
        </w:tc>
        <w:tc>
          <w:tcPr>
            <w:tcW w:w="1245" w:type="dxa"/>
            <w:tcBorders>
              <w:bottom w:val="single" w:color="auto" w:sz="4" w:space="0"/>
            </w:tcBorders>
            <w:vAlign w:val="center"/>
          </w:tcPr>
          <w:p w14:paraId="7465DCB3">
            <w:pPr>
              <w:keepNext w:val="0"/>
              <w:keepLines w:val="0"/>
              <w:pageBreakBefore w:val="0"/>
              <w:widowControl/>
              <w:kinsoku/>
              <w:wordWrap/>
              <w:overflowPunct/>
              <w:topLinePunct w:val="0"/>
              <w:bidi w:val="0"/>
              <w:spacing w:line="240" w:lineRule="auto"/>
              <w:jc w:val="center"/>
              <w:textAlignment w:val="auto"/>
              <w:rPr>
                <w:rFonts w:hint="default" w:ascii="仿宋" w:hAnsi="仿宋" w:eastAsia="仿宋" w:cs="宋体"/>
                <w:bCs/>
                <w:kern w:val="0"/>
                <w:sz w:val="24"/>
                <w:szCs w:val="24"/>
                <w:lang w:val="en-US" w:eastAsia="zh-CN" w:bidi="ar-SA"/>
              </w:rPr>
            </w:pPr>
            <w:r>
              <w:rPr>
                <w:rFonts w:hint="eastAsia" w:ascii="仿宋" w:hAnsi="仿宋" w:eastAsia="仿宋"/>
                <w:bCs/>
                <w:sz w:val="24"/>
                <w:szCs w:val="24"/>
              </w:rPr>
              <w:t>-</w:t>
            </w:r>
          </w:p>
        </w:tc>
        <w:tc>
          <w:tcPr>
            <w:tcW w:w="1102" w:type="dxa"/>
            <w:tcBorders>
              <w:bottom w:val="single" w:color="auto" w:sz="4" w:space="0"/>
            </w:tcBorders>
            <w:vAlign w:val="center"/>
          </w:tcPr>
          <w:p w14:paraId="38684817">
            <w:pPr>
              <w:keepNext w:val="0"/>
              <w:keepLines w:val="0"/>
              <w:pageBreakBefore w:val="0"/>
              <w:widowControl/>
              <w:kinsoku/>
              <w:wordWrap/>
              <w:overflowPunct/>
              <w:topLinePunct w:val="0"/>
              <w:bidi w:val="0"/>
              <w:spacing w:line="240" w:lineRule="auto"/>
              <w:jc w:val="center"/>
              <w:textAlignment w:val="auto"/>
              <w:rPr>
                <w:rFonts w:hint="eastAsia" w:ascii="仿宋" w:hAnsi="仿宋" w:eastAsia="仿宋" w:cs="宋体"/>
                <w:bCs/>
                <w:kern w:val="0"/>
                <w:sz w:val="24"/>
                <w:szCs w:val="24"/>
                <w:lang w:val="en-US" w:eastAsia="zh-CN" w:bidi="ar-SA"/>
              </w:rPr>
            </w:pPr>
            <w:r>
              <w:rPr>
                <w:rFonts w:hint="eastAsia" w:ascii="仿宋" w:hAnsi="仿宋" w:eastAsia="仿宋"/>
                <w:bCs/>
                <w:sz w:val="24"/>
                <w:szCs w:val="24"/>
              </w:rPr>
              <w:t>-</w:t>
            </w:r>
          </w:p>
        </w:tc>
      </w:tr>
    </w:tbl>
    <w:p w14:paraId="511E3C8F"/>
    <w:p w14:paraId="4FA607F1">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开课时间：2026年10月~2028年5月</w:t>
      </w:r>
    </w:p>
    <w:p w14:paraId="0AA8F439">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授课安排：初步在周一-周五晚上、周六或周日中根据情况选取。具体时间结合实际情况另行通知。</w:t>
      </w:r>
    </w:p>
    <w:p w14:paraId="2A4621E1">
      <w:pPr>
        <w:pStyle w:val="7"/>
        <w:keepNext w:val="0"/>
        <w:keepLines w:val="0"/>
        <w:pageBreakBefore w:val="0"/>
        <w:kinsoku/>
        <w:wordWrap/>
        <w:overflowPunct/>
        <w:topLinePunct w:val="0"/>
        <w:bidi w:val="0"/>
        <w:spacing w:line="240" w:lineRule="auto"/>
        <w:ind w:right="57" w:firstLine="480" w:firstLineChars="200"/>
        <w:jc w:val="both"/>
        <w:textAlignment w:val="auto"/>
        <w:rPr>
          <w:rFonts w:hint="eastAsia" w:ascii="Times New Roman" w:hAnsi="Times New Roman" w:eastAsia="华文仿宋" w:cs="Times New Roman"/>
          <w:kern w:val="2"/>
          <w:sz w:val="24"/>
          <w:szCs w:val="24"/>
          <w:lang w:val="en-US" w:eastAsia="zh-CN"/>
        </w:rPr>
      </w:pPr>
      <w:r>
        <w:rPr>
          <w:rFonts w:hint="eastAsia" w:ascii="Times New Roman" w:hAnsi="Times New Roman" w:eastAsia="华文仿宋" w:cs="Times New Roman"/>
          <w:kern w:val="2"/>
          <w:sz w:val="24"/>
          <w:szCs w:val="24"/>
          <w:lang w:val="en-US" w:eastAsia="zh-CN"/>
        </w:rPr>
        <w:t>授课方式：线上与线下授课相结合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0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2477B"/>
    <w:multiLevelType w:val="singleLevel"/>
    <w:tmpl w:val="8852477B"/>
    <w:lvl w:ilvl="0" w:tentative="0">
      <w:start w:val="5"/>
      <w:numFmt w:val="chineseCounting"/>
      <w:suff w:val="space"/>
      <w:lvlText w:val="%1、"/>
      <w:lvlJc w:val="left"/>
      <w:rPr>
        <w:rFonts w:hint="eastAsia"/>
      </w:rPr>
    </w:lvl>
  </w:abstractNum>
  <w:abstractNum w:abstractNumId="1">
    <w:nsid w:val="CAAB004C"/>
    <w:multiLevelType w:val="singleLevel"/>
    <w:tmpl w:val="CAAB004C"/>
    <w:lvl w:ilvl="0" w:tentative="0">
      <w:start w:val="3"/>
      <w:numFmt w:val="chineseCounting"/>
      <w:suff w:val="space"/>
      <w:lvlText w:val="%1、"/>
      <w:lvlJc w:val="left"/>
      <w:rPr>
        <w:rFonts w:hint="eastAsia"/>
      </w:rPr>
    </w:lvl>
  </w:abstractNum>
  <w:abstractNum w:abstractNumId="2">
    <w:nsid w:val="00000001"/>
    <w:multiLevelType w:val="singleLevel"/>
    <w:tmpl w:val="00000001"/>
    <w:lvl w:ilvl="0" w:tentative="0">
      <w:start w:val="1"/>
      <w:numFmt w:val="decimal"/>
      <w:suff w:val="space"/>
      <w:lvlText w:val="%1."/>
      <w:lvlJc w:val="left"/>
    </w:lvl>
  </w:abstractNum>
  <w:abstractNum w:abstractNumId="3">
    <w:nsid w:val="1430E83D"/>
    <w:multiLevelType w:val="singleLevel"/>
    <w:tmpl w:val="1430E83D"/>
    <w:lvl w:ilvl="0" w:tentative="0">
      <w:start w:val="2"/>
      <w:numFmt w:val="chineseCounting"/>
      <w:suff w:val="space"/>
      <w:lvlText w:val="%1、"/>
      <w:lvlJc w:val="left"/>
      <w:rPr>
        <w:rFonts w:hint="eastAsia"/>
      </w:rPr>
    </w:lvl>
  </w:abstractNum>
  <w:abstractNum w:abstractNumId="4">
    <w:nsid w:val="73D2956A"/>
    <w:multiLevelType w:val="singleLevel"/>
    <w:tmpl w:val="73D2956A"/>
    <w:lvl w:ilvl="0" w:tentative="0">
      <w:start w:val="4"/>
      <w:numFmt w:val="chineseCounting"/>
      <w:suff w:val="space"/>
      <w:lvlText w:val="%1、"/>
      <w:lvlJc w:val="left"/>
      <w:rPr>
        <w:rFonts w:hint="eastAsi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zMzhiOTU0NmJlNjFiNzM1ZDg2ZDg3ZDk2ZjkxYjkifQ=="/>
  </w:docVars>
  <w:rsids>
    <w:rsidRoot w:val="32291BE6"/>
    <w:rsid w:val="09317B12"/>
    <w:rsid w:val="0ACB6F82"/>
    <w:rsid w:val="0C2F6E57"/>
    <w:rsid w:val="32291BE6"/>
    <w:rsid w:val="3E556417"/>
    <w:rsid w:val="4AE87BD9"/>
    <w:rsid w:val="5E347972"/>
    <w:rsid w:val="63664172"/>
    <w:rsid w:val="6BCA7410"/>
    <w:rsid w:val="799A53D9"/>
    <w:rsid w:val="7A415200"/>
    <w:rsid w:val="7A994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0"/>
      <w:sz w:val="20"/>
      <w:szCs w:val="20"/>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Table Paragraph"/>
    <w:basedOn w:val="1"/>
    <w:qFormat/>
    <w:uiPriority w:val="1"/>
    <w:rPr>
      <w:kern w:val="2"/>
      <w:sz w:val="21"/>
      <w:szCs w:val="22"/>
      <w:lang w:val="zh-CN" w:bidi="zh-CN"/>
    </w:rPr>
  </w:style>
  <w:style w:type="paragraph" w:customStyle="1" w:styleId="8">
    <w:name w:val="Default"/>
    <w:autoRedefine/>
    <w:qFormat/>
    <w:uiPriority w:val="0"/>
    <w:pPr>
      <w:widowControl w:val="0"/>
      <w:autoSpaceDE w:val="0"/>
      <w:autoSpaceDN w:val="0"/>
      <w:adjustRightInd w:val="0"/>
    </w:pPr>
    <w:rPr>
      <w:rFonts w:ascii="仿宋" w:hAnsi="Times New Roman" w:eastAsia="仿宋" w:cs="仿宋"/>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1763</Words>
  <Characters>1922</Characters>
  <Lines>0</Lines>
  <Paragraphs>0</Paragraphs>
  <TotalTime>0</TotalTime>
  <ScaleCrop>false</ScaleCrop>
  <LinksUpToDate>false</LinksUpToDate>
  <CharactersWithSpaces>1931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2025-09-15T02:30:00Z</dcterms:created>
  <dc:creator>WPS_1622942607</dc:creator>
  <cp:lastModifiedBy>袁钰玮</cp:lastModifiedBy>
  <dcterms:modified xsi:type="dcterms:W3CDTF">2026-09-04T00:54:59Z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34A79E8EA2104EDC8CD3CDF889BFBFBF_13</vt:lpwstr>
  </property>
  <property fmtid="{D5CDD505-2E9C-101B-9397-08002B2CF9AE}" pid="4" name="KSOTemplateDocerSaveRecord">
    <vt:lpwstr>eyJoZGlkIjoiNjMzMzhiOTU0NmJlNjFiNzM1ZDg2ZDg3ZDk2ZjkxYjkiLCJ1c2VySWQiOiIxNjgwNDEyMTQyIn0=</vt:lpwstr>
  </property>
</Properties>
</file>