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2E0462">
      <w:pPr>
        <w:widowControl/>
        <w:shd w:val="clear" w:color="auto" w:fill="FFFFFF"/>
        <w:spacing w:after="150" w:line="26" w:lineRule="atLeast"/>
        <w:ind w:left="480"/>
        <w:jc w:val="center"/>
        <w:rPr>
          <w:rStyle w:val="7"/>
          <w:rFonts w:hint="eastAsia" w:ascii="微软雅黑" w:hAnsi="微软雅黑" w:eastAsia="微软雅黑" w:cs="微软雅黑"/>
          <w:bCs/>
          <w:kern w:val="0"/>
          <w:sz w:val="24"/>
          <w:shd w:val="clear" w:color="auto" w:fill="FFFFFF"/>
          <w:lang w:bidi="ar"/>
        </w:rPr>
      </w:pPr>
      <w:r>
        <w:rPr>
          <w:rStyle w:val="7"/>
          <w:rFonts w:hint="eastAsia" w:ascii="宋体" w:hAnsi="宋体" w:cs="宋体"/>
          <w:bCs/>
          <w:kern w:val="0"/>
          <w:sz w:val="32"/>
          <w:szCs w:val="32"/>
          <w:shd w:val="clear" w:color="auto" w:fill="FFFFFF"/>
          <w:lang w:bidi="ar"/>
        </w:rPr>
        <w:t>2026“隐冠半导体”精密运动控制微专业招生简章</w:t>
      </w:r>
    </w:p>
    <w:p w14:paraId="4C6AFF8A">
      <w:pPr>
        <w:widowControl/>
        <w:numPr>
          <w:ilvl w:val="0"/>
          <w:numId w:val="1"/>
        </w:numPr>
        <w:shd w:val="clear" w:color="auto" w:fill="FFFFFF"/>
        <w:spacing w:after="150" w:line="26" w:lineRule="atLeast"/>
        <w:ind w:firstLine="480"/>
        <w:jc w:val="left"/>
        <w:rPr>
          <w:rStyle w:val="7"/>
          <w:rFonts w:hint="eastAsia" w:ascii="微软雅黑" w:hAnsi="微软雅黑" w:eastAsia="微软雅黑" w:cs="微软雅黑"/>
          <w:bCs/>
          <w:kern w:val="0"/>
          <w:sz w:val="28"/>
          <w:szCs w:val="28"/>
          <w:shd w:val="clear" w:color="auto" w:fill="FFFFFF"/>
          <w:lang w:bidi="ar"/>
        </w:rPr>
      </w:pPr>
      <w:r>
        <w:rPr>
          <w:rStyle w:val="7"/>
          <w:rFonts w:hint="eastAsia" w:ascii="微软雅黑" w:hAnsi="微软雅黑" w:eastAsia="微软雅黑" w:cs="微软雅黑"/>
          <w:bCs/>
          <w:kern w:val="0"/>
          <w:sz w:val="28"/>
          <w:szCs w:val="28"/>
          <w:shd w:val="clear" w:color="auto" w:fill="FFFFFF"/>
          <w:lang w:bidi="ar"/>
        </w:rPr>
        <w:t xml:space="preserve"> 微专业简介 </w:t>
      </w:r>
    </w:p>
    <w:p w14:paraId="3FDA261A">
      <w:pPr>
        <w:adjustRightInd w:val="0"/>
        <w:snapToGrid w:val="0"/>
        <w:spacing w:line="360" w:lineRule="auto"/>
        <w:ind w:firstLine="560" w:firstLineChars="200"/>
        <w:rPr>
          <w:rStyle w:val="7"/>
          <w:rFonts w:hint="eastAsia" w:ascii="微软雅黑" w:hAnsi="微软雅黑" w:eastAsia="微软雅黑" w:cs="微软雅黑"/>
          <w:bCs/>
          <w:color w:val="FF0000"/>
          <w:kern w:val="0"/>
          <w:sz w:val="24"/>
          <w:shd w:val="clear" w:color="auto" w:fill="FFFFFF"/>
          <w:lang w:bidi="ar"/>
        </w:rPr>
      </w:pPr>
      <w:r>
        <w:rPr>
          <w:rFonts w:hint="eastAsia" w:ascii="仿宋" w:hAnsi="仿宋" w:eastAsia="仿宋"/>
          <w:bCs/>
          <w:sz w:val="28"/>
          <w:szCs w:val="28"/>
        </w:rPr>
        <w:t>“隐冠半导体”精密运动控制微专业</w:t>
      </w:r>
      <w:r>
        <w:rPr>
          <w:rFonts w:ascii="仿宋" w:hAnsi="仿宋" w:eastAsia="仿宋"/>
          <w:bCs/>
          <w:sz w:val="28"/>
          <w:szCs w:val="28"/>
        </w:rPr>
        <w:t>紧密契合国家集成电路装备重大需求和产业发展趋势，由上海第二工业大学集成电路学院与</w:t>
      </w:r>
      <w:r>
        <w:rPr>
          <w:rFonts w:hint="eastAsia" w:ascii="仿宋" w:hAnsi="仿宋" w:eastAsia="仿宋"/>
          <w:bCs/>
          <w:sz w:val="28"/>
          <w:szCs w:val="28"/>
        </w:rPr>
        <w:t>上海隐冠半导体技术股份有限公司</w:t>
      </w:r>
      <w:r>
        <w:rPr>
          <w:rFonts w:ascii="仿宋" w:hAnsi="仿宋" w:eastAsia="仿宋"/>
          <w:bCs/>
          <w:sz w:val="28"/>
          <w:szCs w:val="28"/>
        </w:rPr>
        <w:t xml:space="preserve">联合共建，提供 </w:t>
      </w:r>
      <w:r>
        <w:rPr>
          <w:rFonts w:hint="eastAsia" w:ascii="仿宋" w:hAnsi="仿宋" w:eastAsia="仿宋"/>
          <w:bCs/>
          <w:sz w:val="28"/>
          <w:szCs w:val="28"/>
        </w:rPr>
        <w:t>5</w:t>
      </w:r>
      <w:r>
        <w:rPr>
          <w:rFonts w:ascii="仿宋" w:hAnsi="仿宋" w:eastAsia="仿宋"/>
          <w:bCs/>
          <w:sz w:val="28"/>
          <w:szCs w:val="28"/>
        </w:rPr>
        <w:t xml:space="preserve"> 门</w:t>
      </w:r>
      <w:r>
        <w:rPr>
          <w:rFonts w:hint="eastAsia" w:ascii="仿宋" w:hAnsi="仿宋" w:eastAsia="仿宋"/>
          <w:bCs/>
          <w:sz w:val="28"/>
          <w:szCs w:val="28"/>
        </w:rPr>
        <w:t>与半导体装备超高精度运动平台相关的专业</w:t>
      </w:r>
      <w:r>
        <w:rPr>
          <w:rFonts w:ascii="仿宋" w:hAnsi="仿宋" w:eastAsia="仿宋"/>
          <w:bCs/>
          <w:sz w:val="28"/>
          <w:szCs w:val="28"/>
        </w:rPr>
        <w:t>课程。旨在培养学生在半导体装备超高精度运动平台方向的基础理论知识及工程实践能力，使其能够深入掌握精密机械设计、精密装配、运动控制调试、数据算法分析等核心技能，精准对接企业精密机械设计工程师、系统应用开发工程师岗位需求，为学生未来在集成电路装备领域高质量就业或深造打下坚实基础。</w:t>
      </w:r>
    </w:p>
    <w:p w14:paraId="2EF48C89">
      <w:pPr>
        <w:widowControl/>
        <w:shd w:val="clear" w:color="auto" w:fill="FFFFFF"/>
        <w:spacing w:after="150" w:line="26" w:lineRule="atLeast"/>
        <w:ind w:firstLine="480"/>
        <w:jc w:val="left"/>
        <w:rPr>
          <w:rStyle w:val="7"/>
          <w:rFonts w:hint="eastAsia" w:ascii="微软雅黑" w:hAnsi="微软雅黑" w:eastAsia="微软雅黑" w:cs="微软雅黑"/>
          <w:bCs/>
          <w:color w:val="333333"/>
          <w:kern w:val="0"/>
          <w:sz w:val="28"/>
          <w:szCs w:val="28"/>
          <w:shd w:val="clear" w:color="auto" w:fill="FFFFFF"/>
          <w:lang w:bidi="ar"/>
        </w:rPr>
      </w:pPr>
      <w:r>
        <w:rPr>
          <w:rStyle w:val="7"/>
          <w:rFonts w:hint="eastAsia" w:ascii="微软雅黑" w:hAnsi="微软雅黑" w:eastAsia="微软雅黑" w:cs="微软雅黑"/>
          <w:bCs/>
          <w:color w:val="333333"/>
          <w:kern w:val="0"/>
          <w:sz w:val="28"/>
          <w:szCs w:val="28"/>
          <w:shd w:val="clear" w:color="auto" w:fill="FFFFFF"/>
          <w:lang w:bidi="ar"/>
        </w:rPr>
        <w:t>二、 培养目标</w:t>
      </w:r>
    </w:p>
    <w:p w14:paraId="76C03C7B">
      <w:pPr>
        <w:adjustRightInd w:val="0"/>
        <w:snapToGrid w:val="0"/>
        <w:spacing w:line="360" w:lineRule="auto"/>
        <w:ind w:firstLine="560" w:firstLineChars="200"/>
        <w:rPr>
          <w:rFonts w:hint="eastAsia" w:ascii="仿宋" w:hAnsi="仿宋" w:eastAsia="仿宋"/>
          <w:bCs/>
          <w:sz w:val="28"/>
          <w:szCs w:val="28"/>
        </w:rPr>
      </w:pPr>
      <w:r>
        <w:rPr>
          <w:rFonts w:hint="eastAsia" w:ascii="仿宋" w:hAnsi="仿宋" w:eastAsia="仿宋"/>
          <w:bCs/>
          <w:sz w:val="28"/>
          <w:szCs w:val="28"/>
        </w:rPr>
        <w:t>本微专业精准对接上海隐冠半导体技术股份有限公司核心岗位需求，围绕半导体装备超高精度运动平台方向，面向精密机械设计工程师、系统应用开发工程师两大关键岗位，培养德、智、体、美、劳全面发展，具备扎实精密机械设计、高精度运动控制、系统调试、装配测试与工程实践能力，能够从事超高精度运动平台的结构设计、装配调试、控制开发、性能测试、技术支持等工作，具有较强工程能力、创新意识与良好职业素养的本科层次高素质应用型工程技术人才。</w:t>
      </w:r>
    </w:p>
    <w:p w14:paraId="47DD3D49">
      <w:pPr>
        <w:widowControl/>
        <w:shd w:val="clear" w:color="auto" w:fill="FFFFFF"/>
        <w:spacing w:after="150" w:line="26" w:lineRule="atLeast"/>
        <w:ind w:left="480"/>
        <w:jc w:val="left"/>
        <w:rPr>
          <w:rStyle w:val="7"/>
          <w:rFonts w:hint="eastAsia" w:ascii="微软雅黑" w:hAnsi="微软雅黑" w:eastAsia="微软雅黑" w:cs="微软雅黑"/>
          <w:bCs/>
          <w:kern w:val="0"/>
          <w:sz w:val="28"/>
          <w:szCs w:val="28"/>
          <w:shd w:val="clear" w:color="auto" w:fill="FFFFFF"/>
          <w:lang w:bidi="ar"/>
        </w:rPr>
      </w:pPr>
      <w:r>
        <w:rPr>
          <w:rStyle w:val="7"/>
          <w:rFonts w:hint="eastAsia" w:ascii="微软雅黑" w:hAnsi="微软雅黑" w:eastAsia="微软雅黑" w:cs="微软雅黑"/>
          <w:bCs/>
          <w:kern w:val="0"/>
          <w:sz w:val="28"/>
          <w:szCs w:val="28"/>
          <w:shd w:val="clear" w:color="auto" w:fill="FFFFFF"/>
          <w:lang w:bidi="ar"/>
        </w:rPr>
        <w:t>三、 培养要求</w:t>
      </w:r>
    </w:p>
    <w:p w14:paraId="0D84E414">
      <w:pPr>
        <w:widowControl/>
        <w:shd w:val="clear" w:color="auto" w:fill="FFFFFF"/>
        <w:spacing w:after="150" w:line="26" w:lineRule="atLeast"/>
        <w:ind w:left="480"/>
        <w:jc w:val="left"/>
        <w:rPr>
          <w:rFonts w:hint="eastAsia" w:ascii="仿宋" w:hAnsi="仿宋" w:eastAsia="仿宋"/>
          <w:bCs/>
          <w:sz w:val="28"/>
          <w:szCs w:val="36"/>
        </w:rPr>
      </w:pPr>
      <w:r>
        <w:rPr>
          <w:rFonts w:hint="eastAsia" w:ascii="仿宋" w:hAnsi="仿宋" w:eastAsia="仿宋"/>
          <w:bCs/>
          <w:sz w:val="28"/>
          <w:szCs w:val="36"/>
        </w:rPr>
        <w:t>为达成培养目标，</w:t>
      </w:r>
      <w:r>
        <w:rPr>
          <w:rFonts w:hint="eastAsia" w:ascii="仿宋" w:hAnsi="仿宋" w:eastAsia="仿宋"/>
          <w:bCs/>
          <w:sz w:val="28"/>
          <w:szCs w:val="28"/>
        </w:rPr>
        <w:t>“隐冠半导体”精密运动控制微专业</w:t>
      </w:r>
      <w:r>
        <w:rPr>
          <w:rFonts w:hint="eastAsia" w:ascii="仿宋" w:hAnsi="仿宋" w:eastAsia="仿宋"/>
          <w:bCs/>
          <w:sz w:val="28"/>
          <w:szCs w:val="36"/>
        </w:rPr>
        <w:t>对学生提出培养要求如下：</w:t>
      </w:r>
    </w:p>
    <w:p w14:paraId="3E2E7C7A">
      <w:pPr>
        <w:adjustRightInd w:val="0"/>
        <w:snapToGrid w:val="0"/>
        <w:spacing w:line="360" w:lineRule="auto"/>
        <w:rPr>
          <w:rFonts w:hint="eastAsia" w:ascii="仿宋" w:hAnsi="仿宋" w:eastAsia="仿宋"/>
          <w:bCs/>
          <w:sz w:val="28"/>
          <w:szCs w:val="36"/>
        </w:rPr>
      </w:pPr>
      <w:r>
        <w:rPr>
          <w:rFonts w:hint="eastAsia" w:ascii="仿宋" w:hAnsi="仿宋" w:eastAsia="仿宋"/>
          <w:bCs/>
          <w:sz w:val="28"/>
          <w:szCs w:val="36"/>
        </w:rPr>
        <w:t>（1）知识层面：学生需掌握集成电路与半导体装备方向的基础理论知识，包括集成电路导论、集成电路装备、精密定位技术基础、精密机械设计与装调工艺、精密运动控制与MATLAB仿真等。熟悉超高精度运动平台结构设计、装配调试与系统应用，了解半导体装备研发流程、质量控制与行业技术规范。</w:t>
      </w:r>
    </w:p>
    <w:p w14:paraId="186A2A6A">
      <w:pPr>
        <w:adjustRightInd w:val="0"/>
        <w:snapToGrid w:val="0"/>
        <w:spacing w:line="360" w:lineRule="auto"/>
        <w:rPr>
          <w:rFonts w:hint="eastAsia" w:ascii="仿宋" w:hAnsi="仿宋" w:eastAsia="仿宋"/>
          <w:bCs/>
          <w:sz w:val="28"/>
          <w:szCs w:val="36"/>
        </w:rPr>
      </w:pPr>
      <w:r>
        <w:rPr>
          <w:rFonts w:hint="eastAsia" w:ascii="仿宋" w:hAnsi="仿宋" w:eastAsia="仿宋"/>
          <w:bCs/>
          <w:sz w:val="28"/>
          <w:szCs w:val="36"/>
        </w:rPr>
        <w:t>（2）能力层面：学生需具备扎实的工程实践与创新应用能力，能够独立完成精密机械结构设计、三维建模与工程图纸绘制；熟练开展运动平台精密装配、精度检测与系统调试；具备运动台数据分析、算法仿真与性能优化能力，可运用专业工具解决工程实际问题。</w:t>
      </w:r>
    </w:p>
    <w:p w14:paraId="3BE9F309">
      <w:pPr>
        <w:adjustRightInd w:val="0"/>
        <w:snapToGrid w:val="0"/>
        <w:spacing w:line="360" w:lineRule="auto"/>
        <w:rPr>
          <w:rFonts w:hint="eastAsia" w:ascii="仿宋" w:hAnsi="仿宋" w:eastAsia="仿宋"/>
          <w:bCs/>
          <w:sz w:val="28"/>
          <w:szCs w:val="36"/>
        </w:rPr>
      </w:pPr>
      <w:r>
        <w:rPr>
          <w:rFonts w:hint="eastAsia" w:ascii="仿宋" w:hAnsi="仿宋" w:eastAsia="仿宋"/>
          <w:bCs/>
          <w:sz w:val="28"/>
          <w:szCs w:val="36"/>
        </w:rPr>
        <w:t>（3）素质层面：学生需要具备良好的团队协作精神和沟通表达能力，能够与机械、控制、电气等多学科人员协同完成项目任务；具备严谨务实的工匠精神、强烈的责任心和职业道德，遵守行业规范与保密要求，服务国家集成电路装备产业发展。</w:t>
      </w:r>
    </w:p>
    <w:p w14:paraId="191D6189">
      <w:pPr>
        <w:widowControl/>
        <w:shd w:val="clear" w:color="auto" w:fill="FFFFFF"/>
        <w:spacing w:after="150" w:line="26" w:lineRule="atLeast"/>
        <w:ind w:firstLine="480"/>
        <w:jc w:val="left"/>
        <w:rPr>
          <w:rFonts w:hint="eastAsia" w:ascii="微软雅黑" w:hAnsi="微软雅黑" w:eastAsia="微软雅黑" w:cs="微软雅黑"/>
          <w:color w:val="333333"/>
          <w:sz w:val="28"/>
          <w:szCs w:val="28"/>
        </w:rPr>
      </w:pPr>
      <w:r>
        <w:rPr>
          <w:rStyle w:val="7"/>
          <w:rFonts w:hint="eastAsia" w:ascii="微软雅黑" w:hAnsi="微软雅黑" w:eastAsia="微软雅黑" w:cs="微软雅黑"/>
          <w:bCs/>
          <w:color w:val="333333"/>
          <w:kern w:val="0"/>
          <w:sz w:val="28"/>
          <w:szCs w:val="28"/>
          <w:shd w:val="clear" w:color="auto" w:fill="FFFFFF"/>
          <w:lang w:bidi="ar"/>
        </w:rPr>
        <w:t>四、 招生对象及条件</w:t>
      </w:r>
    </w:p>
    <w:p w14:paraId="17338044">
      <w:pPr>
        <w:adjustRightInd w:val="0"/>
        <w:snapToGrid w:val="0"/>
        <w:spacing w:line="360" w:lineRule="auto"/>
        <w:ind w:firstLine="560" w:firstLineChars="200"/>
        <w:rPr>
          <w:rFonts w:ascii="仿宋_GB2312" w:eastAsia="仿宋_GB2312"/>
          <w:bCs/>
          <w:sz w:val="28"/>
          <w:szCs w:val="28"/>
        </w:rPr>
      </w:pPr>
      <w:r>
        <w:rPr>
          <w:rFonts w:hint="eastAsia" w:ascii="仿宋_GB2312" w:eastAsia="仿宋_GB2312"/>
          <w:bCs/>
          <w:sz w:val="28"/>
          <w:szCs w:val="28"/>
        </w:rPr>
        <w:t>招生对象：</w:t>
      </w:r>
      <w:r>
        <w:rPr>
          <w:rFonts w:hint="eastAsia" w:ascii="仿宋" w:hAnsi="仿宋" w:eastAsia="仿宋"/>
          <w:bCs/>
          <w:sz w:val="28"/>
          <w:szCs w:val="28"/>
        </w:rPr>
        <w:t>要求为本科2024和2025级（优先2024级）的学生，以确保学生已经具备了一定的专业基础知识和学习能力。在校生（尤其是工程、电子、计算机等相关专业），具备一定的科学探究能力和动手实践能力。对集成电路、电子工程及相关领域表现出浓厚的兴趣，并具备相应的学习动机和目标。</w:t>
      </w:r>
    </w:p>
    <w:p w14:paraId="2DCC6CB9">
      <w:pPr>
        <w:adjustRightInd w:val="0"/>
        <w:snapToGrid w:val="0"/>
        <w:spacing w:line="360" w:lineRule="auto"/>
        <w:ind w:firstLine="560" w:firstLineChars="200"/>
        <w:rPr>
          <w:rFonts w:ascii="仿宋_GB2312" w:eastAsia="仿宋_GB2312"/>
          <w:bCs/>
          <w:sz w:val="28"/>
          <w:szCs w:val="28"/>
        </w:rPr>
      </w:pPr>
      <w:r>
        <w:rPr>
          <w:rFonts w:hint="eastAsia" w:ascii="仿宋_GB2312" w:eastAsia="仿宋_GB2312"/>
          <w:bCs/>
          <w:sz w:val="28"/>
          <w:szCs w:val="28"/>
        </w:rPr>
        <w:t>招生要求：</w:t>
      </w:r>
    </w:p>
    <w:p w14:paraId="1673BBA4">
      <w:pPr>
        <w:adjustRightInd w:val="0"/>
        <w:snapToGrid w:val="0"/>
        <w:spacing w:line="360" w:lineRule="auto"/>
        <w:ind w:firstLine="560" w:firstLineChars="200"/>
        <w:rPr>
          <w:rFonts w:ascii="仿宋_GB2312" w:eastAsia="仿宋_GB2312"/>
          <w:bCs/>
          <w:sz w:val="28"/>
          <w:szCs w:val="28"/>
        </w:rPr>
      </w:pPr>
      <w:r>
        <w:rPr>
          <w:rFonts w:hint="eastAsia" w:ascii="仿宋_GB2312" w:eastAsia="仿宋_GB2312"/>
          <w:bCs/>
          <w:sz w:val="28"/>
          <w:szCs w:val="28"/>
        </w:rPr>
        <w:t>（1）成绩优异，具有良好的数学、物理基础。</w:t>
      </w:r>
    </w:p>
    <w:p w14:paraId="70F25286">
      <w:pPr>
        <w:adjustRightInd w:val="0"/>
        <w:snapToGrid w:val="0"/>
        <w:spacing w:line="360" w:lineRule="auto"/>
        <w:ind w:firstLine="560" w:firstLineChars="200"/>
        <w:rPr>
          <w:rFonts w:ascii="仿宋_GB2312" w:eastAsia="仿宋_GB2312"/>
          <w:bCs/>
          <w:sz w:val="28"/>
          <w:szCs w:val="28"/>
        </w:rPr>
      </w:pPr>
      <w:r>
        <w:rPr>
          <w:rFonts w:hint="eastAsia" w:ascii="仿宋_GB2312" w:eastAsia="仿宋_GB2312"/>
          <w:bCs/>
          <w:sz w:val="28"/>
          <w:szCs w:val="28"/>
        </w:rPr>
        <w:t>（2）具备团队合作精神，能够积极参与项目实践。</w:t>
      </w:r>
    </w:p>
    <w:p w14:paraId="1B54D79E">
      <w:pPr>
        <w:adjustRightInd w:val="0"/>
        <w:snapToGrid w:val="0"/>
        <w:spacing w:line="360" w:lineRule="auto"/>
        <w:ind w:firstLine="560" w:firstLineChars="200"/>
        <w:rPr>
          <w:rFonts w:ascii="仿宋_GB2312" w:eastAsia="仿宋_GB2312"/>
          <w:bCs/>
          <w:sz w:val="28"/>
          <w:szCs w:val="28"/>
        </w:rPr>
      </w:pPr>
      <w:r>
        <w:rPr>
          <w:rFonts w:hint="eastAsia" w:ascii="仿宋_GB2312" w:eastAsia="仿宋_GB2312"/>
          <w:bCs/>
          <w:sz w:val="28"/>
          <w:szCs w:val="28"/>
        </w:rPr>
        <w:t>（3）有志于在集成电路领域继续深造或在相关行业就业。</w:t>
      </w:r>
    </w:p>
    <w:p w14:paraId="20E08278">
      <w:pPr>
        <w:adjustRightInd w:val="0"/>
        <w:snapToGrid w:val="0"/>
        <w:spacing w:line="360" w:lineRule="auto"/>
        <w:ind w:firstLine="560" w:firstLineChars="200"/>
        <w:rPr>
          <w:rFonts w:ascii="仿宋_GB2312" w:eastAsia="仿宋_GB2312"/>
          <w:bCs/>
          <w:sz w:val="28"/>
          <w:szCs w:val="28"/>
        </w:rPr>
      </w:pPr>
      <w:r>
        <w:rPr>
          <w:rFonts w:hint="eastAsia" w:ascii="仿宋_GB2312" w:eastAsia="仿宋_GB2312"/>
          <w:bCs/>
          <w:sz w:val="28"/>
          <w:szCs w:val="28"/>
        </w:rPr>
        <w:t>招生人数： 30 - 40 人</w:t>
      </w:r>
    </w:p>
    <w:p w14:paraId="5FFA06AA">
      <w:pPr>
        <w:widowControl/>
        <w:numPr>
          <w:ilvl w:val="0"/>
          <w:numId w:val="2"/>
        </w:numPr>
        <w:shd w:val="clear" w:color="auto" w:fill="FFFFFF"/>
        <w:spacing w:after="150" w:line="26" w:lineRule="atLeast"/>
        <w:ind w:firstLine="480"/>
        <w:jc w:val="left"/>
        <w:rPr>
          <w:rStyle w:val="7"/>
          <w:rFonts w:hint="eastAsia" w:ascii="微软雅黑" w:hAnsi="微软雅黑" w:eastAsia="微软雅黑" w:cs="微软雅黑"/>
          <w:bCs/>
          <w:color w:val="333333"/>
          <w:kern w:val="0"/>
          <w:sz w:val="28"/>
          <w:szCs w:val="28"/>
          <w:shd w:val="clear" w:color="auto" w:fill="FFFFFF"/>
          <w:lang w:bidi="ar"/>
        </w:rPr>
      </w:pPr>
      <w:r>
        <w:rPr>
          <w:rStyle w:val="7"/>
          <w:rFonts w:hint="eastAsia" w:ascii="微软雅黑" w:hAnsi="微软雅黑" w:eastAsia="微软雅黑" w:cs="微软雅黑"/>
          <w:bCs/>
          <w:color w:val="333333"/>
          <w:kern w:val="0"/>
          <w:sz w:val="28"/>
          <w:szCs w:val="28"/>
          <w:shd w:val="clear" w:color="auto" w:fill="FFFFFF"/>
          <w:lang w:bidi="ar"/>
        </w:rPr>
        <w:t> 学制及证书授予</w:t>
      </w:r>
    </w:p>
    <w:p w14:paraId="15DE9621">
      <w:pPr>
        <w:adjustRightInd w:val="0"/>
        <w:snapToGrid w:val="0"/>
        <w:spacing w:line="360" w:lineRule="auto"/>
        <w:ind w:firstLine="560" w:firstLineChars="200"/>
        <w:rPr>
          <w:rFonts w:hint="eastAsia" w:ascii="仿宋" w:hAnsi="仿宋" w:eastAsia="仿宋"/>
          <w:sz w:val="28"/>
          <w:szCs w:val="28"/>
        </w:rPr>
      </w:pPr>
      <w:r>
        <w:rPr>
          <w:rFonts w:hint="eastAsia" w:ascii="仿宋" w:hAnsi="仿宋" w:eastAsia="仿宋"/>
          <w:bCs/>
          <w:sz w:val="28"/>
          <w:szCs w:val="28"/>
        </w:rPr>
        <w:t>“隐冠半导体”精密运动控制微专业</w:t>
      </w:r>
      <w:r>
        <w:rPr>
          <w:rFonts w:hint="eastAsia" w:ascii="仿宋_GB2312" w:eastAsia="仿宋_GB2312"/>
          <w:sz w:val="28"/>
          <w:szCs w:val="28"/>
        </w:rPr>
        <w:t>修读年限为1年，成绩单独管理，不计入主修专业成绩单。</w:t>
      </w:r>
      <w:r>
        <w:rPr>
          <w:rFonts w:hint="eastAsia" w:ascii="仿宋" w:hAnsi="仿宋" w:eastAsia="仿宋"/>
          <w:sz w:val="28"/>
          <w:szCs w:val="28"/>
        </w:rPr>
        <w:t>学生在毕业前，修满本培养方案规定的12学分，由上海第二工业大学和上海隐冠半导体技术股份有限公司联合颁发</w:t>
      </w:r>
      <w:r>
        <w:rPr>
          <w:rFonts w:hint="eastAsia" w:ascii="仿宋" w:hAnsi="仿宋" w:eastAsia="仿宋"/>
          <w:bCs/>
          <w:sz w:val="28"/>
          <w:szCs w:val="28"/>
        </w:rPr>
        <w:t>“隐冠半导体”精密运动控制微专业</w:t>
      </w:r>
      <w:r>
        <w:rPr>
          <w:rFonts w:hint="eastAsia" w:ascii="仿宋" w:hAnsi="仿宋" w:eastAsia="仿宋"/>
          <w:sz w:val="28"/>
          <w:szCs w:val="28"/>
        </w:rPr>
        <w:t>证书。成绩优异者优先推荐进入隐冠实习。</w:t>
      </w:r>
    </w:p>
    <w:p w14:paraId="173238D2">
      <w:pPr>
        <w:adjustRightInd w:val="0"/>
        <w:snapToGrid w:val="0"/>
        <w:spacing w:line="360" w:lineRule="auto"/>
        <w:ind w:firstLine="560" w:firstLineChars="200"/>
        <w:rPr>
          <w:rFonts w:hint="eastAsia" w:ascii="仿宋" w:hAnsi="仿宋" w:eastAsia="仿宋"/>
          <w:sz w:val="28"/>
          <w:szCs w:val="28"/>
        </w:rPr>
      </w:pPr>
    </w:p>
    <w:p w14:paraId="7CBA990B">
      <w:pPr>
        <w:widowControl/>
        <w:shd w:val="clear" w:color="auto" w:fill="FFFFFF"/>
        <w:spacing w:after="150" w:line="26" w:lineRule="atLeast"/>
        <w:ind w:firstLine="480"/>
        <w:jc w:val="left"/>
        <w:rPr>
          <w:rFonts w:hint="eastAsia" w:ascii="微软雅黑" w:hAnsi="微软雅黑" w:eastAsia="微软雅黑" w:cs="微软雅黑"/>
          <w:color w:val="333333"/>
          <w:sz w:val="28"/>
          <w:szCs w:val="28"/>
        </w:rPr>
      </w:pPr>
      <w:r>
        <w:rPr>
          <w:rStyle w:val="7"/>
          <w:rFonts w:hint="eastAsia" w:ascii="微软雅黑" w:hAnsi="微软雅黑" w:eastAsia="微软雅黑" w:cs="微软雅黑"/>
          <w:bCs/>
          <w:color w:val="333333"/>
          <w:kern w:val="0"/>
          <w:sz w:val="28"/>
          <w:szCs w:val="28"/>
          <w:shd w:val="clear" w:color="auto" w:fill="FFFFFF"/>
          <w:lang w:bidi="ar"/>
        </w:rPr>
        <w:t>六、 学费</w:t>
      </w:r>
    </w:p>
    <w:p w14:paraId="1D8E2326">
      <w:pPr>
        <w:adjustRightInd w:val="0"/>
        <w:snapToGrid w:val="0"/>
        <w:spacing w:line="360" w:lineRule="auto"/>
        <w:ind w:firstLine="560" w:firstLineChars="200"/>
        <w:rPr>
          <w:rFonts w:ascii="仿宋_GB2312" w:eastAsia="仿宋_GB2312"/>
          <w:bCs/>
          <w:sz w:val="28"/>
          <w:szCs w:val="28"/>
        </w:rPr>
      </w:pPr>
      <w:r>
        <w:rPr>
          <w:rFonts w:hint="eastAsia" w:ascii="仿宋_GB2312" w:eastAsia="仿宋_GB2312"/>
          <w:bCs/>
          <w:sz w:val="28"/>
          <w:szCs w:val="28"/>
        </w:rPr>
        <w:t>根据学院讨论决定，</w:t>
      </w:r>
      <w:r>
        <w:rPr>
          <w:rFonts w:hint="eastAsia" w:ascii="仿宋" w:hAnsi="仿宋" w:eastAsia="仿宋"/>
          <w:bCs/>
          <w:sz w:val="28"/>
          <w:szCs w:val="28"/>
        </w:rPr>
        <w:t>“隐冠半导体”精密运动控制微专业</w:t>
      </w:r>
      <w:r>
        <w:rPr>
          <w:rFonts w:hint="eastAsia" w:ascii="仿宋_GB2312" w:eastAsia="仿宋_GB2312"/>
          <w:bCs/>
          <w:sz w:val="28"/>
          <w:szCs w:val="28"/>
        </w:rPr>
        <w:t>不收取学费。</w:t>
      </w:r>
    </w:p>
    <w:p w14:paraId="70E72EDC">
      <w:pPr>
        <w:widowControl/>
        <w:shd w:val="clear" w:color="auto" w:fill="FFFFFF"/>
        <w:spacing w:after="150" w:line="26" w:lineRule="atLeast"/>
        <w:ind w:firstLine="480"/>
        <w:jc w:val="left"/>
        <w:rPr>
          <w:rFonts w:hint="eastAsia" w:ascii="微软雅黑" w:hAnsi="微软雅黑" w:eastAsia="微软雅黑" w:cs="微软雅黑"/>
          <w:color w:val="333333"/>
          <w:sz w:val="28"/>
          <w:szCs w:val="28"/>
        </w:rPr>
      </w:pPr>
      <w:r>
        <w:rPr>
          <w:rStyle w:val="7"/>
          <w:rFonts w:hint="eastAsia" w:ascii="微软雅黑" w:hAnsi="微软雅黑" w:eastAsia="微软雅黑" w:cs="微软雅黑"/>
          <w:bCs/>
          <w:color w:val="333333"/>
          <w:kern w:val="0"/>
          <w:sz w:val="28"/>
          <w:szCs w:val="28"/>
          <w:shd w:val="clear" w:color="auto" w:fill="FFFFFF"/>
          <w:lang w:bidi="ar"/>
        </w:rPr>
        <w:t>七、 报名及咨询</w:t>
      </w:r>
    </w:p>
    <w:p w14:paraId="6FFDA7C1">
      <w:pPr>
        <w:adjustRightInd w:val="0"/>
        <w:snapToGrid w:val="0"/>
        <w:spacing w:line="360" w:lineRule="auto"/>
        <w:ind w:firstLine="560" w:firstLineChars="200"/>
        <w:rPr>
          <w:rFonts w:ascii="仿宋_GB2312" w:eastAsia="仿宋_GB2312"/>
          <w:bCs/>
          <w:sz w:val="28"/>
          <w:szCs w:val="28"/>
        </w:rPr>
      </w:pPr>
      <w:r>
        <w:rPr>
          <w:rFonts w:hint="eastAsia" w:ascii="仿宋_GB2312" w:eastAsia="仿宋_GB2312"/>
          <w:bCs/>
          <w:sz w:val="28"/>
          <w:szCs w:val="28"/>
        </w:rPr>
        <w:t>报名网址https://v.wjx.cn/vm/Q03Cx1K.aspx#  ，学院审核后，择优确定微专业录取名单，报教务处备案并发布录取信息。</w:t>
      </w:r>
    </w:p>
    <w:p w14:paraId="71197E70">
      <w:pPr>
        <w:adjustRightInd w:val="0"/>
        <w:snapToGrid w:val="0"/>
        <w:spacing w:line="360" w:lineRule="auto"/>
        <w:ind w:firstLine="560" w:firstLineChars="200"/>
        <w:rPr>
          <w:rFonts w:ascii="仿宋_GB2312" w:eastAsia="仿宋_GB2312"/>
          <w:bCs/>
          <w:sz w:val="28"/>
          <w:szCs w:val="28"/>
        </w:rPr>
      </w:pPr>
      <w:r>
        <w:rPr>
          <w:rFonts w:hint="eastAsia" w:ascii="仿宋_GB2312" w:eastAsia="仿宋_GB2312"/>
          <w:bCs/>
          <w:sz w:val="28"/>
          <w:szCs w:val="28"/>
        </w:rPr>
        <w:t>联系人：陆老师、谢老师</w:t>
      </w:r>
    </w:p>
    <w:p w14:paraId="7A147B1B">
      <w:pPr>
        <w:adjustRightInd w:val="0"/>
        <w:snapToGrid w:val="0"/>
        <w:spacing w:line="360" w:lineRule="auto"/>
        <w:ind w:firstLine="560" w:firstLineChars="200"/>
        <w:rPr>
          <w:rFonts w:ascii="仿宋_GB2312" w:eastAsia="仿宋_GB2312"/>
          <w:bCs/>
          <w:sz w:val="28"/>
          <w:szCs w:val="28"/>
        </w:rPr>
      </w:pPr>
      <w:r>
        <w:rPr>
          <w:rFonts w:hint="eastAsia" w:ascii="仿宋_GB2312" w:eastAsia="仿宋_GB2312"/>
          <w:bCs/>
          <w:sz w:val="28"/>
          <w:szCs w:val="28"/>
        </w:rPr>
        <w:t>咨询邮箱：</w:t>
      </w:r>
      <w:r>
        <w:fldChar w:fldCharType="begin"/>
      </w:r>
      <w:r>
        <w:instrText xml:space="preserve"> HYPERLINK "mailto:fflu@sspu.edu.cn," </w:instrText>
      </w:r>
      <w:r>
        <w:fldChar w:fldCharType="separate"/>
      </w:r>
      <w:r>
        <w:rPr>
          <w:rFonts w:hint="eastAsia" w:ascii="仿宋_GB2312" w:eastAsia="仿宋_GB2312"/>
          <w:bCs/>
          <w:sz w:val="28"/>
          <w:szCs w:val="28"/>
        </w:rPr>
        <w:t>fflu@sspu.edu.cn,</w:t>
      </w:r>
      <w:r>
        <w:rPr>
          <w:rFonts w:hint="eastAsia" w:ascii="仿宋_GB2312" w:eastAsia="仿宋_GB2312"/>
          <w:bCs/>
          <w:sz w:val="28"/>
          <w:szCs w:val="28"/>
        </w:rPr>
        <w:fldChar w:fldCharType="end"/>
      </w:r>
      <w:r>
        <w:rPr>
          <w:rFonts w:hint="eastAsia" w:ascii="仿宋_GB2312" w:eastAsia="仿宋_GB2312"/>
          <w:bCs/>
          <w:sz w:val="28"/>
          <w:szCs w:val="28"/>
        </w:rPr>
        <w:t>xiehan@sspu.edu.cn（请在邮件标题注明“微专业咨询”）</w:t>
      </w:r>
    </w:p>
    <w:p w14:paraId="7EC3B4B7">
      <w:pPr>
        <w:widowControl/>
        <w:shd w:val="clear" w:color="auto" w:fill="FFFFFF"/>
        <w:spacing w:after="150" w:line="26" w:lineRule="atLeast"/>
        <w:ind w:firstLine="480"/>
        <w:jc w:val="left"/>
        <w:rPr>
          <w:rFonts w:hint="eastAsia" w:ascii="微软雅黑" w:hAnsi="微软雅黑" w:eastAsia="微软雅黑" w:cs="微软雅黑"/>
          <w:color w:val="333333"/>
          <w:sz w:val="28"/>
          <w:szCs w:val="28"/>
        </w:rPr>
      </w:pPr>
      <w:r>
        <w:rPr>
          <w:rStyle w:val="7"/>
          <w:rFonts w:hint="eastAsia" w:ascii="微软雅黑" w:hAnsi="微软雅黑" w:eastAsia="微软雅黑" w:cs="微软雅黑"/>
          <w:bCs/>
          <w:color w:val="333333"/>
          <w:kern w:val="0"/>
          <w:sz w:val="28"/>
          <w:szCs w:val="28"/>
          <w:shd w:val="clear" w:color="auto" w:fill="FFFFFF"/>
          <w:lang w:bidi="ar"/>
        </w:rPr>
        <w:t>八、 教学计划与课程简介</w:t>
      </w:r>
    </w:p>
    <w:p w14:paraId="34F8BEB3">
      <w:pPr>
        <w:adjustRightInd w:val="0"/>
        <w:snapToGrid w:val="0"/>
        <w:spacing w:line="360" w:lineRule="auto"/>
        <w:ind w:left="480"/>
        <w:jc w:val="center"/>
        <w:outlineLvl w:val="0"/>
        <w:rPr>
          <w:rFonts w:hint="eastAsia" w:ascii="仿宋" w:hAnsi="仿宋" w:eastAsia="仿宋"/>
          <w:b/>
          <w:sz w:val="24"/>
        </w:rPr>
      </w:pPr>
      <w:r>
        <w:rPr>
          <w:rFonts w:hint="eastAsia" w:ascii="仿宋" w:hAnsi="仿宋" w:eastAsia="仿宋"/>
          <w:b/>
          <w:sz w:val="24"/>
        </w:rPr>
        <w:t>微专业课程设置及教学进程计划表</w:t>
      </w:r>
    </w:p>
    <w:tbl>
      <w:tblPr>
        <w:tblStyle w:val="5"/>
        <w:tblW w:w="97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5"/>
        <w:gridCol w:w="691"/>
        <w:gridCol w:w="1418"/>
        <w:gridCol w:w="992"/>
        <w:gridCol w:w="992"/>
        <w:gridCol w:w="851"/>
        <w:gridCol w:w="992"/>
        <w:gridCol w:w="1514"/>
        <w:gridCol w:w="1321"/>
      </w:tblGrid>
      <w:tr w14:paraId="75A1E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05" w:type="dxa"/>
            <w:vMerge w:val="restart"/>
            <w:vAlign w:val="center"/>
          </w:tcPr>
          <w:p w14:paraId="45B8BA5C">
            <w:pPr>
              <w:jc w:val="center"/>
              <w:rPr>
                <w:rFonts w:hint="eastAsia" w:ascii="仿宋" w:hAnsi="仿宋" w:eastAsia="仿宋"/>
                <w:bCs/>
                <w:sz w:val="24"/>
              </w:rPr>
            </w:pPr>
            <w:r>
              <w:rPr>
                <w:rFonts w:hint="eastAsia" w:ascii="仿宋" w:hAnsi="仿宋" w:eastAsia="仿宋"/>
                <w:bCs/>
                <w:sz w:val="24"/>
              </w:rPr>
              <w:t>序号</w:t>
            </w:r>
          </w:p>
        </w:tc>
        <w:tc>
          <w:tcPr>
            <w:tcW w:w="2109" w:type="dxa"/>
            <w:gridSpan w:val="2"/>
            <w:vMerge w:val="restart"/>
            <w:vAlign w:val="center"/>
          </w:tcPr>
          <w:p w14:paraId="5AD23363">
            <w:pPr>
              <w:widowControl/>
              <w:jc w:val="center"/>
              <w:rPr>
                <w:rFonts w:hint="eastAsia" w:ascii="仿宋" w:hAnsi="仿宋" w:eastAsia="仿宋"/>
                <w:bCs/>
                <w:spacing w:val="20"/>
                <w:sz w:val="24"/>
              </w:rPr>
            </w:pPr>
            <w:r>
              <w:rPr>
                <w:rFonts w:hint="eastAsia" w:ascii="仿宋" w:hAnsi="仿宋" w:eastAsia="仿宋"/>
                <w:bCs/>
                <w:sz w:val="24"/>
              </w:rPr>
              <w:t>课程名称</w:t>
            </w:r>
          </w:p>
        </w:tc>
        <w:tc>
          <w:tcPr>
            <w:tcW w:w="992" w:type="dxa"/>
            <w:vMerge w:val="restart"/>
            <w:vAlign w:val="center"/>
          </w:tcPr>
          <w:p w14:paraId="4D0A403F">
            <w:pPr>
              <w:widowControl/>
              <w:jc w:val="center"/>
              <w:rPr>
                <w:rFonts w:hint="eastAsia" w:ascii="仿宋" w:hAnsi="仿宋" w:eastAsia="仿宋"/>
                <w:bCs/>
                <w:spacing w:val="20"/>
                <w:sz w:val="24"/>
              </w:rPr>
            </w:pPr>
            <w:r>
              <w:rPr>
                <w:rFonts w:hint="eastAsia" w:ascii="仿宋" w:hAnsi="仿宋" w:eastAsia="仿宋"/>
                <w:bCs/>
                <w:sz w:val="24"/>
              </w:rPr>
              <w:t>学分</w:t>
            </w:r>
          </w:p>
        </w:tc>
        <w:tc>
          <w:tcPr>
            <w:tcW w:w="2835" w:type="dxa"/>
            <w:gridSpan w:val="3"/>
          </w:tcPr>
          <w:p w14:paraId="1D4F7E37">
            <w:pPr>
              <w:widowControl/>
              <w:jc w:val="center"/>
              <w:rPr>
                <w:rFonts w:hint="eastAsia" w:ascii="仿宋" w:hAnsi="仿宋" w:eastAsia="仿宋"/>
                <w:bCs/>
                <w:spacing w:val="20"/>
                <w:sz w:val="24"/>
              </w:rPr>
            </w:pPr>
            <w:r>
              <w:rPr>
                <w:rFonts w:hint="eastAsia" w:ascii="仿宋" w:hAnsi="仿宋" w:eastAsia="仿宋"/>
                <w:bCs/>
                <w:spacing w:val="30"/>
                <w:kern w:val="0"/>
                <w:sz w:val="24"/>
                <w:fitText w:val="840" w:id="1386882712"/>
              </w:rPr>
              <w:t>学时</w:t>
            </w:r>
            <w:r>
              <w:rPr>
                <w:rFonts w:hint="eastAsia" w:ascii="仿宋" w:hAnsi="仿宋" w:eastAsia="仿宋"/>
                <w:bCs/>
                <w:spacing w:val="0"/>
                <w:kern w:val="0"/>
                <w:sz w:val="24"/>
                <w:fitText w:val="840" w:id="1386882712"/>
              </w:rPr>
              <w:t>数</w:t>
            </w:r>
          </w:p>
        </w:tc>
        <w:tc>
          <w:tcPr>
            <w:tcW w:w="1514" w:type="dxa"/>
            <w:vMerge w:val="restart"/>
            <w:vAlign w:val="center"/>
          </w:tcPr>
          <w:p w14:paraId="0DA9C8D8">
            <w:pPr>
              <w:widowControl/>
              <w:jc w:val="center"/>
              <w:rPr>
                <w:rFonts w:hint="eastAsia" w:ascii="仿宋" w:hAnsi="仿宋" w:eastAsia="仿宋"/>
                <w:bCs/>
                <w:spacing w:val="20"/>
                <w:sz w:val="24"/>
              </w:rPr>
            </w:pPr>
            <w:r>
              <w:rPr>
                <w:rFonts w:hint="eastAsia" w:ascii="仿宋" w:hAnsi="仿宋" w:eastAsia="仿宋"/>
                <w:bCs/>
                <w:spacing w:val="20"/>
                <w:sz w:val="24"/>
              </w:rPr>
              <w:t>授课方式（混合、线下）</w:t>
            </w:r>
          </w:p>
        </w:tc>
        <w:tc>
          <w:tcPr>
            <w:tcW w:w="1321" w:type="dxa"/>
            <w:vMerge w:val="restart"/>
            <w:vAlign w:val="center"/>
          </w:tcPr>
          <w:p w14:paraId="458AB72C">
            <w:pPr>
              <w:widowControl/>
              <w:jc w:val="center"/>
              <w:rPr>
                <w:rFonts w:hint="eastAsia" w:ascii="仿宋" w:hAnsi="仿宋" w:eastAsia="仿宋"/>
                <w:bCs/>
                <w:spacing w:val="20"/>
                <w:sz w:val="24"/>
              </w:rPr>
            </w:pPr>
            <w:r>
              <w:rPr>
                <w:rFonts w:hint="eastAsia" w:ascii="仿宋" w:hAnsi="仿宋" w:eastAsia="仿宋"/>
                <w:bCs/>
                <w:spacing w:val="20"/>
                <w:sz w:val="24"/>
              </w:rPr>
              <w:t>开课学期</w:t>
            </w:r>
          </w:p>
        </w:tc>
      </w:tr>
      <w:tr w14:paraId="77CBD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05" w:type="dxa"/>
            <w:vMerge w:val="continue"/>
          </w:tcPr>
          <w:p w14:paraId="6068E7ED">
            <w:pPr>
              <w:widowControl/>
              <w:jc w:val="center"/>
              <w:rPr>
                <w:rFonts w:hint="eastAsia" w:ascii="仿宋" w:hAnsi="仿宋" w:eastAsia="仿宋"/>
                <w:b/>
                <w:spacing w:val="20"/>
                <w:sz w:val="24"/>
              </w:rPr>
            </w:pPr>
          </w:p>
        </w:tc>
        <w:tc>
          <w:tcPr>
            <w:tcW w:w="2109" w:type="dxa"/>
            <w:gridSpan w:val="2"/>
            <w:vMerge w:val="continue"/>
            <w:vAlign w:val="center"/>
          </w:tcPr>
          <w:p w14:paraId="339655D3">
            <w:pPr>
              <w:widowControl/>
              <w:jc w:val="center"/>
              <w:rPr>
                <w:rFonts w:hint="eastAsia" w:ascii="仿宋" w:hAnsi="仿宋" w:eastAsia="仿宋"/>
                <w:b/>
                <w:spacing w:val="20"/>
                <w:sz w:val="24"/>
              </w:rPr>
            </w:pPr>
          </w:p>
        </w:tc>
        <w:tc>
          <w:tcPr>
            <w:tcW w:w="992" w:type="dxa"/>
            <w:vMerge w:val="continue"/>
            <w:vAlign w:val="center"/>
          </w:tcPr>
          <w:p w14:paraId="29675A9E">
            <w:pPr>
              <w:widowControl/>
              <w:jc w:val="center"/>
              <w:rPr>
                <w:rFonts w:hint="eastAsia" w:ascii="仿宋" w:hAnsi="仿宋" w:eastAsia="仿宋"/>
                <w:b/>
                <w:spacing w:val="20"/>
                <w:sz w:val="24"/>
              </w:rPr>
            </w:pPr>
          </w:p>
        </w:tc>
        <w:tc>
          <w:tcPr>
            <w:tcW w:w="992" w:type="dxa"/>
            <w:vAlign w:val="center"/>
          </w:tcPr>
          <w:p w14:paraId="7D0C2681">
            <w:pPr>
              <w:widowControl/>
              <w:jc w:val="center"/>
              <w:rPr>
                <w:rFonts w:hint="eastAsia" w:ascii="仿宋" w:hAnsi="仿宋" w:eastAsia="仿宋"/>
                <w:bCs/>
                <w:spacing w:val="20"/>
                <w:sz w:val="24"/>
              </w:rPr>
            </w:pPr>
            <w:r>
              <w:rPr>
                <w:rFonts w:hint="eastAsia" w:ascii="仿宋" w:hAnsi="仿宋" w:eastAsia="仿宋"/>
                <w:bCs/>
                <w:sz w:val="24"/>
              </w:rPr>
              <w:t>总学时</w:t>
            </w:r>
          </w:p>
        </w:tc>
        <w:tc>
          <w:tcPr>
            <w:tcW w:w="851" w:type="dxa"/>
            <w:vAlign w:val="center"/>
          </w:tcPr>
          <w:p w14:paraId="562E0B2A">
            <w:pPr>
              <w:widowControl/>
              <w:jc w:val="center"/>
              <w:rPr>
                <w:rFonts w:hint="eastAsia" w:ascii="仿宋" w:hAnsi="仿宋" w:eastAsia="仿宋"/>
                <w:bCs/>
                <w:sz w:val="24"/>
              </w:rPr>
            </w:pPr>
            <w:r>
              <w:rPr>
                <w:rFonts w:hint="eastAsia" w:ascii="仿宋" w:hAnsi="仿宋" w:eastAsia="仿宋"/>
                <w:bCs/>
                <w:sz w:val="24"/>
              </w:rPr>
              <w:t>理论</w:t>
            </w:r>
          </w:p>
          <w:p w14:paraId="3F6F1E1A">
            <w:pPr>
              <w:widowControl/>
              <w:jc w:val="center"/>
              <w:rPr>
                <w:rFonts w:hint="eastAsia" w:ascii="仿宋" w:hAnsi="仿宋" w:eastAsia="仿宋"/>
                <w:bCs/>
                <w:spacing w:val="20"/>
                <w:sz w:val="24"/>
              </w:rPr>
            </w:pPr>
            <w:r>
              <w:rPr>
                <w:rFonts w:hint="eastAsia" w:ascii="仿宋" w:hAnsi="仿宋" w:eastAsia="仿宋"/>
                <w:bCs/>
                <w:sz w:val="24"/>
              </w:rPr>
              <w:t>学时</w:t>
            </w:r>
          </w:p>
        </w:tc>
        <w:tc>
          <w:tcPr>
            <w:tcW w:w="992" w:type="dxa"/>
            <w:vAlign w:val="center"/>
          </w:tcPr>
          <w:p w14:paraId="24E2AF1A">
            <w:pPr>
              <w:widowControl/>
              <w:jc w:val="center"/>
              <w:rPr>
                <w:rFonts w:hint="eastAsia" w:ascii="仿宋" w:hAnsi="仿宋" w:eastAsia="仿宋"/>
                <w:bCs/>
                <w:sz w:val="24"/>
              </w:rPr>
            </w:pPr>
            <w:r>
              <w:rPr>
                <w:rFonts w:hint="eastAsia" w:ascii="仿宋" w:hAnsi="仿宋" w:eastAsia="仿宋"/>
                <w:bCs/>
                <w:sz w:val="24"/>
              </w:rPr>
              <w:t>实践</w:t>
            </w:r>
          </w:p>
          <w:p w14:paraId="27644240">
            <w:pPr>
              <w:widowControl/>
              <w:jc w:val="center"/>
              <w:rPr>
                <w:rFonts w:hint="eastAsia" w:ascii="仿宋" w:hAnsi="仿宋" w:eastAsia="仿宋"/>
                <w:bCs/>
                <w:spacing w:val="20"/>
                <w:sz w:val="24"/>
              </w:rPr>
            </w:pPr>
            <w:r>
              <w:rPr>
                <w:rFonts w:hint="eastAsia" w:ascii="仿宋" w:hAnsi="仿宋" w:eastAsia="仿宋"/>
                <w:bCs/>
                <w:sz w:val="24"/>
              </w:rPr>
              <w:t>学时</w:t>
            </w:r>
          </w:p>
        </w:tc>
        <w:tc>
          <w:tcPr>
            <w:tcW w:w="1514" w:type="dxa"/>
            <w:vMerge w:val="continue"/>
            <w:vAlign w:val="center"/>
          </w:tcPr>
          <w:p w14:paraId="4C4E67DE">
            <w:pPr>
              <w:widowControl/>
              <w:jc w:val="center"/>
              <w:rPr>
                <w:rFonts w:hint="eastAsia" w:ascii="仿宋" w:hAnsi="仿宋" w:eastAsia="仿宋"/>
                <w:b/>
                <w:spacing w:val="20"/>
                <w:sz w:val="24"/>
              </w:rPr>
            </w:pPr>
          </w:p>
        </w:tc>
        <w:tc>
          <w:tcPr>
            <w:tcW w:w="1321" w:type="dxa"/>
            <w:vMerge w:val="continue"/>
            <w:vAlign w:val="center"/>
          </w:tcPr>
          <w:p w14:paraId="76F38896">
            <w:pPr>
              <w:widowControl/>
              <w:jc w:val="center"/>
              <w:rPr>
                <w:rFonts w:hint="eastAsia" w:ascii="仿宋" w:hAnsi="仿宋" w:eastAsia="仿宋"/>
                <w:b/>
                <w:spacing w:val="20"/>
                <w:szCs w:val="21"/>
              </w:rPr>
            </w:pPr>
          </w:p>
        </w:tc>
      </w:tr>
      <w:tr w14:paraId="689EB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jc w:val="center"/>
        </w:trPr>
        <w:tc>
          <w:tcPr>
            <w:tcW w:w="1005" w:type="dxa"/>
            <w:vMerge w:val="restart"/>
            <w:vAlign w:val="center"/>
          </w:tcPr>
          <w:p w14:paraId="532F0E53">
            <w:pPr>
              <w:jc w:val="center"/>
              <w:rPr>
                <w:rFonts w:ascii="仿宋" w:hAnsi="仿宋" w:eastAsia="仿宋"/>
                <w:bCs/>
                <w:sz w:val="24"/>
              </w:rPr>
            </w:pPr>
            <w:r>
              <w:rPr>
                <w:rFonts w:hint="eastAsia" w:ascii="仿宋" w:hAnsi="仿宋" w:eastAsia="仿宋"/>
                <w:bCs/>
                <w:sz w:val="24"/>
              </w:rPr>
              <w:t>1</w:t>
            </w:r>
          </w:p>
          <w:p w14:paraId="6182D27B">
            <w:pPr>
              <w:rPr>
                <w:rFonts w:hint="eastAsia" w:ascii="仿宋" w:hAnsi="仿宋" w:eastAsia="仿宋"/>
                <w:bCs/>
                <w:sz w:val="24"/>
              </w:rPr>
            </w:pPr>
            <w:r>
              <w:rPr>
                <w:rFonts w:hint="eastAsia" w:ascii="仿宋" w:hAnsi="仿宋" w:eastAsia="仿宋"/>
                <w:bCs/>
                <w:sz w:val="24"/>
              </w:rPr>
              <w:t>（选1）</w:t>
            </w:r>
          </w:p>
        </w:tc>
        <w:tc>
          <w:tcPr>
            <w:tcW w:w="2109" w:type="dxa"/>
            <w:gridSpan w:val="2"/>
            <w:vAlign w:val="center"/>
          </w:tcPr>
          <w:p w14:paraId="72D1906C">
            <w:pPr>
              <w:widowControl/>
              <w:jc w:val="center"/>
              <w:rPr>
                <w:rFonts w:hint="eastAsia" w:ascii="仿宋" w:hAnsi="仿宋" w:eastAsia="仿宋"/>
                <w:bCs/>
                <w:sz w:val="24"/>
              </w:rPr>
            </w:pPr>
            <w:r>
              <w:rPr>
                <w:rFonts w:hint="eastAsia" w:ascii="仿宋" w:hAnsi="仿宋" w:eastAsia="仿宋"/>
                <w:bCs/>
                <w:sz w:val="24"/>
              </w:rPr>
              <w:t>集成电路导论</w:t>
            </w:r>
          </w:p>
        </w:tc>
        <w:tc>
          <w:tcPr>
            <w:tcW w:w="992" w:type="dxa"/>
            <w:vAlign w:val="center"/>
          </w:tcPr>
          <w:p w14:paraId="6C9E73F8">
            <w:pPr>
              <w:widowControl/>
              <w:jc w:val="center"/>
              <w:rPr>
                <w:rFonts w:hint="eastAsia" w:ascii="仿宋" w:hAnsi="仿宋" w:eastAsia="仿宋"/>
                <w:bCs/>
                <w:sz w:val="24"/>
              </w:rPr>
            </w:pPr>
            <w:r>
              <w:rPr>
                <w:rFonts w:hint="eastAsia" w:ascii="仿宋" w:hAnsi="仿宋" w:eastAsia="仿宋"/>
                <w:bCs/>
                <w:sz w:val="24"/>
              </w:rPr>
              <w:t>2</w:t>
            </w:r>
          </w:p>
        </w:tc>
        <w:tc>
          <w:tcPr>
            <w:tcW w:w="992" w:type="dxa"/>
            <w:vAlign w:val="center"/>
          </w:tcPr>
          <w:p w14:paraId="15D3F14D">
            <w:pPr>
              <w:widowControl/>
              <w:jc w:val="center"/>
              <w:rPr>
                <w:rFonts w:hint="eastAsia" w:ascii="仿宋" w:hAnsi="仿宋" w:eastAsia="仿宋"/>
                <w:bCs/>
                <w:sz w:val="24"/>
              </w:rPr>
            </w:pPr>
            <w:r>
              <w:rPr>
                <w:rFonts w:hint="eastAsia" w:ascii="仿宋" w:hAnsi="仿宋" w:eastAsia="仿宋"/>
                <w:bCs/>
                <w:sz w:val="24"/>
              </w:rPr>
              <w:t>32</w:t>
            </w:r>
          </w:p>
        </w:tc>
        <w:tc>
          <w:tcPr>
            <w:tcW w:w="851" w:type="dxa"/>
            <w:vAlign w:val="center"/>
          </w:tcPr>
          <w:p w14:paraId="7EDCC25A">
            <w:pPr>
              <w:widowControl/>
              <w:jc w:val="center"/>
              <w:rPr>
                <w:rFonts w:hint="eastAsia" w:ascii="仿宋" w:hAnsi="仿宋" w:eastAsia="仿宋"/>
                <w:bCs/>
                <w:sz w:val="24"/>
              </w:rPr>
            </w:pPr>
            <w:r>
              <w:rPr>
                <w:rFonts w:hint="eastAsia" w:ascii="仿宋" w:hAnsi="仿宋" w:eastAsia="仿宋"/>
                <w:bCs/>
                <w:sz w:val="24"/>
              </w:rPr>
              <w:t>32</w:t>
            </w:r>
          </w:p>
        </w:tc>
        <w:tc>
          <w:tcPr>
            <w:tcW w:w="992" w:type="dxa"/>
            <w:vAlign w:val="center"/>
          </w:tcPr>
          <w:p w14:paraId="7618FD6A">
            <w:pPr>
              <w:widowControl/>
              <w:jc w:val="center"/>
              <w:rPr>
                <w:rFonts w:hint="eastAsia" w:ascii="仿宋" w:hAnsi="仿宋" w:eastAsia="仿宋"/>
                <w:bCs/>
                <w:sz w:val="24"/>
              </w:rPr>
            </w:pPr>
            <w:r>
              <w:rPr>
                <w:rFonts w:hint="eastAsia" w:ascii="仿宋" w:hAnsi="仿宋" w:eastAsia="仿宋"/>
                <w:bCs/>
                <w:sz w:val="24"/>
              </w:rPr>
              <w:t>0</w:t>
            </w:r>
          </w:p>
        </w:tc>
        <w:tc>
          <w:tcPr>
            <w:tcW w:w="1514" w:type="dxa"/>
            <w:vAlign w:val="center"/>
          </w:tcPr>
          <w:p w14:paraId="37BEBC20">
            <w:pPr>
              <w:widowControl/>
              <w:jc w:val="center"/>
              <w:rPr>
                <w:rFonts w:hint="eastAsia" w:ascii="仿宋" w:hAnsi="仿宋" w:eastAsia="仿宋"/>
                <w:bCs/>
                <w:sz w:val="24"/>
              </w:rPr>
            </w:pPr>
            <w:r>
              <w:rPr>
                <w:rFonts w:hint="eastAsia" w:ascii="仿宋" w:hAnsi="仿宋" w:eastAsia="仿宋"/>
                <w:bCs/>
                <w:sz w:val="24"/>
              </w:rPr>
              <w:t>混合</w:t>
            </w:r>
          </w:p>
        </w:tc>
        <w:tc>
          <w:tcPr>
            <w:tcW w:w="1321" w:type="dxa"/>
            <w:vAlign w:val="center"/>
          </w:tcPr>
          <w:p w14:paraId="2B43F1C4">
            <w:pPr>
              <w:widowControl/>
              <w:jc w:val="center"/>
              <w:rPr>
                <w:rFonts w:hint="eastAsia" w:ascii="仿宋" w:hAnsi="仿宋" w:eastAsia="仿宋"/>
                <w:bCs/>
                <w:sz w:val="24"/>
              </w:rPr>
            </w:pPr>
            <w:r>
              <w:rPr>
                <w:rFonts w:hint="eastAsia" w:ascii="仿宋" w:hAnsi="仿宋" w:eastAsia="仿宋"/>
                <w:bCs/>
                <w:sz w:val="24"/>
              </w:rPr>
              <w:t>微专业一</w:t>
            </w:r>
          </w:p>
        </w:tc>
      </w:tr>
      <w:tr w14:paraId="336C5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05" w:type="dxa"/>
            <w:vMerge w:val="continue"/>
            <w:vAlign w:val="center"/>
          </w:tcPr>
          <w:p w14:paraId="2B54A5DF">
            <w:pPr>
              <w:widowControl/>
              <w:jc w:val="center"/>
              <w:rPr>
                <w:rFonts w:hint="eastAsia" w:ascii="仿宋" w:hAnsi="仿宋" w:eastAsia="仿宋"/>
                <w:bCs/>
                <w:sz w:val="24"/>
              </w:rPr>
            </w:pPr>
          </w:p>
        </w:tc>
        <w:tc>
          <w:tcPr>
            <w:tcW w:w="2109" w:type="dxa"/>
            <w:gridSpan w:val="2"/>
            <w:vAlign w:val="center"/>
          </w:tcPr>
          <w:p w14:paraId="696C2BBC">
            <w:pPr>
              <w:widowControl/>
              <w:jc w:val="center"/>
              <w:rPr>
                <w:rFonts w:hint="eastAsia" w:ascii="仿宋" w:hAnsi="仿宋" w:eastAsia="仿宋"/>
                <w:bCs/>
                <w:sz w:val="24"/>
              </w:rPr>
            </w:pPr>
            <w:r>
              <w:rPr>
                <w:rFonts w:hint="eastAsia" w:ascii="仿宋" w:hAnsi="仿宋" w:eastAsia="仿宋"/>
                <w:bCs/>
                <w:sz w:val="24"/>
              </w:rPr>
              <w:t>集成电路装备概论</w:t>
            </w:r>
          </w:p>
        </w:tc>
        <w:tc>
          <w:tcPr>
            <w:tcW w:w="992" w:type="dxa"/>
            <w:vAlign w:val="center"/>
          </w:tcPr>
          <w:p w14:paraId="75D6AF53">
            <w:pPr>
              <w:widowControl/>
              <w:jc w:val="center"/>
              <w:rPr>
                <w:rFonts w:hint="eastAsia" w:ascii="仿宋" w:hAnsi="仿宋" w:eastAsia="仿宋"/>
                <w:bCs/>
                <w:sz w:val="24"/>
              </w:rPr>
            </w:pPr>
            <w:r>
              <w:rPr>
                <w:rFonts w:hint="eastAsia" w:ascii="仿宋" w:hAnsi="仿宋" w:eastAsia="仿宋"/>
                <w:bCs/>
                <w:sz w:val="24"/>
              </w:rPr>
              <w:t>2</w:t>
            </w:r>
          </w:p>
        </w:tc>
        <w:tc>
          <w:tcPr>
            <w:tcW w:w="992" w:type="dxa"/>
            <w:vAlign w:val="center"/>
          </w:tcPr>
          <w:p w14:paraId="4810EFCC">
            <w:pPr>
              <w:widowControl/>
              <w:jc w:val="center"/>
              <w:rPr>
                <w:rFonts w:hint="eastAsia" w:ascii="仿宋" w:hAnsi="仿宋" w:eastAsia="仿宋"/>
                <w:bCs/>
                <w:sz w:val="24"/>
              </w:rPr>
            </w:pPr>
            <w:r>
              <w:rPr>
                <w:rFonts w:hint="eastAsia" w:ascii="仿宋" w:hAnsi="仿宋" w:eastAsia="仿宋"/>
                <w:bCs/>
                <w:sz w:val="24"/>
              </w:rPr>
              <w:t>32</w:t>
            </w:r>
          </w:p>
        </w:tc>
        <w:tc>
          <w:tcPr>
            <w:tcW w:w="851" w:type="dxa"/>
            <w:vAlign w:val="center"/>
          </w:tcPr>
          <w:p w14:paraId="4CCC4DA2">
            <w:pPr>
              <w:widowControl/>
              <w:jc w:val="center"/>
              <w:rPr>
                <w:rFonts w:hint="eastAsia" w:ascii="仿宋" w:hAnsi="仿宋" w:eastAsia="仿宋"/>
                <w:bCs/>
                <w:sz w:val="24"/>
              </w:rPr>
            </w:pPr>
            <w:r>
              <w:rPr>
                <w:rFonts w:hint="eastAsia" w:ascii="仿宋" w:hAnsi="仿宋" w:eastAsia="仿宋"/>
                <w:bCs/>
                <w:sz w:val="24"/>
              </w:rPr>
              <w:t>32</w:t>
            </w:r>
          </w:p>
        </w:tc>
        <w:tc>
          <w:tcPr>
            <w:tcW w:w="992" w:type="dxa"/>
            <w:vAlign w:val="center"/>
          </w:tcPr>
          <w:p w14:paraId="54CB289A">
            <w:pPr>
              <w:widowControl/>
              <w:jc w:val="center"/>
              <w:rPr>
                <w:rFonts w:hint="eastAsia" w:ascii="仿宋" w:hAnsi="仿宋" w:eastAsia="仿宋"/>
                <w:bCs/>
                <w:sz w:val="24"/>
              </w:rPr>
            </w:pPr>
            <w:r>
              <w:rPr>
                <w:rFonts w:hint="eastAsia" w:ascii="仿宋" w:hAnsi="仿宋" w:eastAsia="仿宋"/>
                <w:bCs/>
                <w:sz w:val="24"/>
              </w:rPr>
              <w:t>0</w:t>
            </w:r>
          </w:p>
        </w:tc>
        <w:tc>
          <w:tcPr>
            <w:tcW w:w="1514" w:type="dxa"/>
            <w:vAlign w:val="center"/>
          </w:tcPr>
          <w:p w14:paraId="10E1733D">
            <w:pPr>
              <w:widowControl/>
              <w:jc w:val="center"/>
              <w:rPr>
                <w:rFonts w:hint="eastAsia" w:ascii="仿宋" w:hAnsi="仿宋" w:eastAsia="仿宋"/>
                <w:bCs/>
                <w:sz w:val="24"/>
              </w:rPr>
            </w:pPr>
            <w:r>
              <w:rPr>
                <w:rFonts w:hint="eastAsia" w:ascii="仿宋" w:hAnsi="仿宋" w:eastAsia="仿宋"/>
                <w:bCs/>
                <w:sz w:val="24"/>
              </w:rPr>
              <w:t>混合</w:t>
            </w:r>
          </w:p>
        </w:tc>
        <w:tc>
          <w:tcPr>
            <w:tcW w:w="1321" w:type="dxa"/>
            <w:vAlign w:val="center"/>
          </w:tcPr>
          <w:p w14:paraId="340EB617">
            <w:pPr>
              <w:widowControl/>
              <w:jc w:val="center"/>
              <w:rPr>
                <w:rFonts w:hint="eastAsia" w:ascii="仿宋" w:hAnsi="仿宋" w:eastAsia="仿宋"/>
                <w:bCs/>
                <w:sz w:val="24"/>
              </w:rPr>
            </w:pPr>
            <w:r>
              <w:rPr>
                <w:rFonts w:hint="eastAsia" w:ascii="仿宋" w:hAnsi="仿宋" w:eastAsia="仿宋"/>
                <w:bCs/>
                <w:sz w:val="24"/>
              </w:rPr>
              <w:t>微专业一</w:t>
            </w:r>
          </w:p>
        </w:tc>
      </w:tr>
      <w:tr w14:paraId="290D5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05" w:type="dxa"/>
            <w:vAlign w:val="center"/>
          </w:tcPr>
          <w:p w14:paraId="5F21E9A1">
            <w:pPr>
              <w:widowControl/>
              <w:jc w:val="center"/>
              <w:rPr>
                <w:rFonts w:hint="eastAsia" w:ascii="仿宋" w:hAnsi="仿宋" w:eastAsia="仿宋"/>
                <w:bCs/>
                <w:sz w:val="24"/>
              </w:rPr>
            </w:pPr>
            <w:r>
              <w:rPr>
                <w:rFonts w:hint="eastAsia" w:ascii="仿宋" w:hAnsi="仿宋" w:eastAsia="仿宋"/>
                <w:bCs/>
                <w:sz w:val="24"/>
              </w:rPr>
              <w:t>2</w:t>
            </w:r>
          </w:p>
        </w:tc>
        <w:tc>
          <w:tcPr>
            <w:tcW w:w="2109" w:type="dxa"/>
            <w:gridSpan w:val="2"/>
            <w:vAlign w:val="center"/>
          </w:tcPr>
          <w:p w14:paraId="330CBC40">
            <w:pPr>
              <w:widowControl/>
              <w:jc w:val="center"/>
              <w:rPr>
                <w:rFonts w:hint="eastAsia" w:ascii="仿宋" w:hAnsi="仿宋" w:eastAsia="仿宋"/>
                <w:bCs/>
                <w:sz w:val="24"/>
              </w:rPr>
            </w:pPr>
            <w:r>
              <w:rPr>
                <w:rFonts w:hint="eastAsia" w:ascii="仿宋" w:hAnsi="仿宋" w:eastAsia="仿宋" w:cs="Arial"/>
                <w:color w:val="000000"/>
                <w:sz w:val="24"/>
              </w:rPr>
              <w:t>精密定位技术基础</w:t>
            </w:r>
          </w:p>
        </w:tc>
        <w:tc>
          <w:tcPr>
            <w:tcW w:w="992" w:type="dxa"/>
            <w:vAlign w:val="center"/>
          </w:tcPr>
          <w:p w14:paraId="0A9EB945">
            <w:pPr>
              <w:widowControl/>
              <w:jc w:val="center"/>
              <w:rPr>
                <w:rFonts w:hint="eastAsia" w:ascii="仿宋" w:hAnsi="仿宋" w:eastAsia="仿宋"/>
                <w:bCs/>
                <w:sz w:val="24"/>
              </w:rPr>
            </w:pPr>
            <w:r>
              <w:rPr>
                <w:rFonts w:hint="eastAsia" w:ascii="仿宋" w:hAnsi="仿宋" w:eastAsia="仿宋"/>
                <w:bCs/>
                <w:sz w:val="24"/>
              </w:rPr>
              <w:t>2</w:t>
            </w:r>
          </w:p>
        </w:tc>
        <w:tc>
          <w:tcPr>
            <w:tcW w:w="992" w:type="dxa"/>
            <w:vAlign w:val="center"/>
          </w:tcPr>
          <w:p w14:paraId="063653A0">
            <w:pPr>
              <w:widowControl/>
              <w:jc w:val="center"/>
              <w:rPr>
                <w:rFonts w:hint="eastAsia" w:ascii="仿宋" w:hAnsi="仿宋" w:eastAsia="仿宋"/>
                <w:bCs/>
                <w:sz w:val="24"/>
              </w:rPr>
            </w:pPr>
            <w:r>
              <w:rPr>
                <w:rFonts w:hint="eastAsia" w:ascii="仿宋" w:hAnsi="仿宋" w:eastAsia="仿宋"/>
                <w:bCs/>
                <w:sz w:val="24"/>
              </w:rPr>
              <w:t>32</w:t>
            </w:r>
          </w:p>
        </w:tc>
        <w:tc>
          <w:tcPr>
            <w:tcW w:w="851" w:type="dxa"/>
            <w:vAlign w:val="center"/>
          </w:tcPr>
          <w:p w14:paraId="6D32E682">
            <w:pPr>
              <w:widowControl/>
              <w:jc w:val="center"/>
              <w:rPr>
                <w:rFonts w:hint="eastAsia" w:ascii="仿宋" w:hAnsi="仿宋" w:eastAsia="仿宋"/>
                <w:bCs/>
                <w:sz w:val="24"/>
              </w:rPr>
            </w:pPr>
            <w:r>
              <w:rPr>
                <w:rFonts w:hint="eastAsia" w:ascii="仿宋" w:hAnsi="仿宋" w:eastAsia="仿宋"/>
                <w:bCs/>
                <w:sz w:val="24"/>
              </w:rPr>
              <w:t>20</w:t>
            </w:r>
          </w:p>
        </w:tc>
        <w:tc>
          <w:tcPr>
            <w:tcW w:w="992" w:type="dxa"/>
            <w:vAlign w:val="center"/>
          </w:tcPr>
          <w:p w14:paraId="54C1EAB5">
            <w:pPr>
              <w:widowControl/>
              <w:jc w:val="center"/>
              <w:rPr>
                <w:rFonts w:hint="eastAsia" w:ascii="仿宋" w:hAnsi="仿宋" w:eastAsia="仿宋"/>
                <w:bCs/>
                <w:sz w:val="24"/>
              </w:rPr>
            </w:pPr>
            <w:r>
              <w:rPr>
                <w:rFonts w:hint="eastAsia" w:ascii="仿宋" w:hAnsi="仿宋" w:eastAsia="仿宋"/>
                <w:bCs/>
                <w:sz w:val="24"/>
              </w:rPr>
              <w:t>12</w:t>
            </w:r>
          </w:p>
        </w:tc>
        <w:tc>
          <w:tcPr>
            <w:tcW w:w="1514" w:type="dxa"/>
            <w:vAlign w:val="center"/>
          </w:tcPr>
          <w:p w14:paraId="2E5607BC">
            <w:pPr>
              <w:widowControl/>
              <w:jc w:val="center"/>
              <w:rPr>
                <w:rFonts w:hint="eastAsia" w:ascii="仿宋" w:hAnsi="仿宋" w:eastAsia="仿宋"/>
                <w:bCs/>
                <w:sz w:val="24"/>
              </w:rPr>
            </w:pPr>
            <w:r>
              <w:rPr>
                <w:rFonts w:hint="eastAsia" w:ascii="仿宋" w:hAnsi="仿宋" w:eastAsia="仿宋"/>
                <w:bCs/>
                <w:sz w:val="24"/>
              </w:rPr>
              <w:t>混合</w:t>
            </w:r>
          </w:p>
        </w:tc>
        <w:tc>
          <w:tcPr>
            <w:tcW w:w="1321" w:type="dxa"/>
            <w:vAlign w:val="center"/>
          </w:tcPr>
          <w:p w14:paraId="357372F1">
            <w:pPr>
              <w:widowControl/>
              <w:jc w:val="center"/>
              <w:rPr>
                <w:rFonts w:hint="eastAsia" w:ascii="仿宋" w:hAnsi="仿宋" w:eastAsia="仿宋"/>
                <w:bCs/>
                <w:sz w:val="24"/>
              </w:rPr>
            </w:pPr>
            <w:r>
              <w:rPr>
                <w:rFonts w:hint="eastAsia" w:ascii="仿宋" w:hAnsi="仿宋" w:eastAsia="仿宋"/>
                <w:bCs/>
                <w:sz w:val="24"/>
              </w:rPr>
              <w:t>微专业一</w:t>
            </w:r>
          </w:p>
        </w:tc>
      </w:tr>
      <w:tr w14:paraId="72D88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05" w:type="dxa"/>
            <w:vAlign w:val="center"/>
          </w:tcPr>
          <w:p w14:paraId="7EFCA66A">
            <w:pPr>
              <w:widowControl/>
              <w:jc w:val="center"/>
              <w:rPr>
                <w:rFonts w:hint="eastAsia" w:ascii="仿宋" w:hAnsi="仿宋" w:eastAsia="仿宋"/>
                <w:bCs/>
                <w:sz w:val="24"/>
              </w:rPr>
            </w:pPr>
            <w:r>
              <w:rPr>
                <w:rFonts w:hint="eastAsia" w:ascii="仿宋" w:hAnsi="仿宋" w:eastAsia="仿宋"/>
                <w:bCs/>
                <w:sz w:val="24"/>
              </w:rPr>
              <w:t>3</w:t>
            </w:r>
          </w:p>
        </w:tc>
        <w:tc>
          <w:tcPr>
            <w:tcW w:w="2109" w:type="dxa"/>
            <w:gridSpan w:val="2"/>
            <w:vAlign w:val="center"/>
          </w:tcPr>
          <w:p w14:paraId="3D892792">
            <w:pPr>
              <w:widowControl/>
              <w:jc w:val="center"/>
              <w:rPr>
                <w:rFonts w:hint="eastAsia" w:ascii="仿宋" w:hAnsi="仿宋" w:eastAsia="仿宋"/>
                <w:bCs/>
                <w:sz w:val="24"/>
              </w:rPr>
            </w:pPr>
            <w:r>
              <w:rPr>
                <w:rFonts w:hint="eastAsia" w:ascii="仿宋" w:hAnsi="仿宋" w:eastAsia="仿宋" w:cs="Arial"/>
                <w:color w:val="000000"/>
                <w:sz w:val="24"/>
              </w:rPr>
              <w:t>精密机械设计与装调工艺</w:t>
            </w:r>
          </w:p>
        </w:tc>
        <w:tc>
          <w:tcPr>
            <w:tcW w:w="992" w:type="dxa"/>
            <w:vAlign w:val="center"/>
          </w:tcPr>
          <w:p w14:paraId="51BFD7A4">
            <w:pPr>
              <w:widowControl/>
              <w:jc w:val="center"/>
              <w:rPr>
                <w:rFonts w:hint="eastAsia" w:ascii="仿宋" w:hAnsi="仿宋" w:eastAsia="仿宋"/>
                <w:bCs/>
                <w:sz w:val="24"/>
              </w:rPr>
            </w:pPr>
            <w:r>
              <w:rPr>
                <w:rFonts w:hint="eastAsia" w:ascii="仿宋" w:hAnsi="仿宋" w:eastAsia="仿宋"/>
                <w:bCs/>
                <w:sz w:val="24"/>
              </w:rPr>
              <w:t>3</w:t>
            </w:r>
          </w:p>
        </w:tc>
        <w:tc>
          <w:tcPr>
            <w:tcW w:w="992" w:type="dxa"/>
            <w:vAlign w:val="center"/>
          </w:tcPr>
          <w:p w14:paraId="47C092FB">
            <w:pPr>
              <w:widowControl/>
              <w:jc w:val="center"/>
              <w:rPr>
                <w:rFonts w:hint="eastAsia" w:ascii="仿宋" w:hAnsi="仿宋" w:eastAsia="仿宋"/>
                <w:bCs/>
                <w:sz w:val="24"/>
              </w:rPr>
            </w:pPr>
            <w:r>
              <w:rPr>
                <w:rFonts w:hint="eastAsia" w:ascii="仿宋" w:hAnsi="仿宋" w:eastAsia="仿宋"/>
                <w:bCs/>
                <w:sz w:val="24"/>
              </w:rPr>
              <w:t>48</w:t>
            </w:r>
          </w:p>
        </w:tc>
        <w:tc>
          <w:tcPr>
            <w:tcW w:w="851" w:type="dxa"/>
            <w:vAlign w:val="center"/>
          </w:tcPr>
          <w:p w14:paraId="41D3904F">
            <w:pPr>
              <w:widowControl/>
              <w:jc w:val="center"/>
              <w:rPr>
                <w:rFonts w:hint="eastAsia" w:ascii="仿宋" w:hAnsi="仿宋" w:eastAsia="仿宋"/>
                <w:bCs/>
                <w:sz w:val="24"/>
              </w:rPr>
            </w:pPr>
            <w:r>
              <w:rPr>
                <w:rFonts w:hint="eastAsia" w:ascii="仿宋" w:hAnsi="仿宋" w:eastAsia="仿宋"/>
                <w:bCs/>
                <w:sz w:val="24"/>
              </w:rPr>
              <w:t>30</w:t>
            </w:r>
          </w:p>
        </w:tc>
        <w:tc>
          <w:tcPr>
            <w:tcW w:w="992" w:type="dxa"/>
            <w:vAlign w:val="center"/>
          </w:tcPr>
          <w:p w14:paraId="6C53FA77">
            <w:pPr>
              <w:widowControl/>
              <w:jc w:val="center"/>
              <w:rPr>
                <w:rFonts w:hint="eastAsia" w:ascii="仿宋" w:hAnsi="仿宋" w:eastAsia="仿宋"/>
                <w:bCs/>
                <w:sz w:val="24"/>
              </w:rPr>
            </w:pPr>
            <w:r>
              <w:rPr>
                <w:rFonts w:hint="eastAsia" w:ascii="仿宋" w:hAnsi="仿宋" w:eastAsia="仿宋"/>
                <w:bCs/>
                <w:sz w:val="24"/>
              </w:rPr>
              <w:t>18</w:t>
            </w:r>
          </w:p>
        </w:tc>
        <w:tc>
          <w:tcPr>
            <w:tcW w:w="1514" w:type="dxa"/>
            <w:vAlign w:val="center"/>
          </w:tcPr>
          <w:p w14:paraId="6CBCAA47">
            <w:pPr>
              <w:widowControl/>
              <w:jc w:val="center"/>
              <w:rPr>
                <w:rFonts w:hint="eastAsia" w:ascii="仿宋" w:hAnsi="仿宋" w:eastAsia="仿宋"/>
                <w:bCs/>
                <w:sz w:val="24"/>
              </w:rPr>
            </w:pPr>
            <w:r>
              <w:rPr>
                <w:rFonts w:hint="eastAsia" w:ascii="仿宋" w:hAnsi="仿宋" w:eastAsia="仿宋"/>
                <w:bCs/>
                <w:sz w:val="24"/>
              </w:rPr>
              <w:t>混合</w:t>
            </w:r>
          </w:p>
        </w:tc>
        <w:tc>
          <w:tcPr>
            <w:tcW w:w="1321" w:type="dxa"/>
            <w:vAlign w:val="center"/>
          </w:tcPr>
          <w:p w14:paraId="1CDD5A29">
            <w:pPr>
              <w:widowControl/>
              <w:jc w:val="center"/>
              <w:rPr>
                <w:rFonts w:hint="eastAsia" w:ascii="仿宋" w:hAnsi="仿宋" w:eastAsia="仿宋"/>
                <w:bCs/>
                <w:sz w:val="24"/>
              </w:rPr>
            </w:pPr>
            <w:r>
              <w:rPr>
                <w:rFonts w:hint="eastAsia" w:ascii="仿宋" w:hAnsi="仿宋" w:eastAsia="仿宋"/>
                <w:bCs/>
                <w:sz w:val="24"/>
              </w:rPr>
              <w:t>微专业二</w:t>
            </w:r>
          </w:p>
        </w:tc>
      </w:tr>
      <w:tr w14:paraId="20EAC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05" w:type="dxa"/>
            <w:vAlign w:val="center"/>
          </w:tcPr>
          <w:p w14:paraId="78C56A3B">
            <w:pPr>
              <w:widowControl/>
              <w:jc w:val="center"/>
              <w:rPr>
                <w:rFonts w:hint="eastAsia" w:ascii="仿宋" w:hAnsi="仿宋" w:eastAsia="仿宋"/>
                <w:bCs/>
                <w:sz w:val="24"/>
              </w:rPr>
            </w:pPr>
            <w:r>
              <w:rPr>
                <w:rFonts w:hint="eastAsia" w:ascii="仿宋" w:hAnsi="仿宋" w:eastAsia="仿宋"/>
                <w:bCs/>
                <w:sz w:val="24"/>
              </w:rPr>
              <w:t>4</w:t>
            </w:r>
          </w:p>
        </w:tc>
        <w:tc>
          <w:tcPr>
            <w:tcW w:w="2109" w:type="dxa"/>
            <w:gridSpan w:val="2"/>
            <w:vAlign w:val="center"/>
          </w:tcPr>
          <w:p w14:paraId="48895B6F">
            <w:pPr>
              <w:widowControl/>
              <w:jc w:val="center"/>
              <w:rPr>
                <w:rFonts w:hint="eastAsia" w:ascii="仿宋" w:hAnsi="仿宋" w:eastAsia="仿宋"/>
                <w:bCs/>
                <w:sz w:val="24"/>
              </w:rPr>
            </w:pPr>
            <w:r>
              <w:rPr>
                <w:rFonts w:hint="eastAsia" w:ascii="仿宋" w:hAnsi="仿宋" w:eastAsia="仿宋" w:cs="Arial"/>
                <w:color w:val="000000"/>
                <w:sz w:val="24"/>
              </w:rPr>
              <w:t>精密运动控制与MATLAB仿真</w:t>
            </w:r>
          </w:p>
        </w:tc>
        <w:tc>
          <w:tcPr>
            <w:tcW w:w="992" w:type="dxa"/>
            <w:vAlign w:val="center"/>
          </w:tcPr>
          <w:p w14:paraId="588590DB">
            <w:pPr>
              <w:widowControl/>
              <w:jc w:val="center"/>
              <w:rPr>
                <w:rFonts w:hint="eastAsia" w:ascii="仿宋" w:hAnsi="仿宋" w:eastAsia="仿宋"/>
                <w:bCs/>
                <w:sz w:val="24"/>
              </w:rPr>
            </w:pPr>
            <w:r>
              <w:rPr>
                <w:rFonts w:hint="eastAsia" w:ascii="仿宋" w:hAnsi="仿宋" w:eastAsia="仿宋"/>
                <w:bCs/>
                <w:sz w:val="24"/>
              </w:rPr>
              <w:t>3</w:t>
            </w:r>
          </w:p>
        </w:tc>
        <w:tc>
          <w:tcPr>
            <w:tcW w:w="992" w:type="dxa"/>
            <w:vAlign w:val="center"/>
          </w:tcPr>
          <w:p w14:paraId="1713121B">
            <w:pPr>
              <w:widowControl/>
              <w:jc w:val="center"/>
              <w:rPr>
                <w:rFonts w:hint="eastAsia" w:ascii="仿宋" w:hAnsi="仿宋" w:eastAsia="仿宋"/>
                <w:bCs/>
                <w:sz w:val="24"/>
              </w:rPr>
            </w:pPr>
            <w:r>
              <w:rPr>
                <w:rFonts w:hint="eastAsia" w:ascii="仿宋" w:hAnsi="仿宋" w:eastAsia="仿宋"/>
                <w:bCs/>
                <w:sz w:val="24"/>
              </w:rPr>
              <w:t>48</w:t>
            </w:r>
          </w:p>
        </w:tc>
        <w:tc>
          <w:tcPr>
            <w:tcW w:w="851" w:type="dxa"/>
            <w:vAlign w:val="center"/>
          </w:tcPr>
          <w:p w14:paraId="51AA428A">
            <w:pPr>
              <w:widowControl/>
              <w:jc w:val="center"/>
              <w:rPr>
                <w:rFonts w:hint="eastAsia" w:ascii="仿宋" w:hAnsi="仿宋" w:eastAsia="仿宋"/>
                <w:bCs/>
                <w:sz w:val="24"/>
              </w:rPr>
            </w:pPr>
            <w:r>
              <w:rPr>
                <w:rFonts w:hint="eastAsia" w:ascii="仿宋" w:hAnsi="仿宋" w:eastAsia="仿宋"/>
                <w:bCs/>
                <w:sz w:val="24"/>
              </w:rPr>
              <w:t>30</w:t>
            </w:r>
          </w:p>
        </w:tc>
        <w:tc>
          <w:tcPr>
            <w:tcW w:w="992" w:type="dxa"/>
            <w:vAlign w:val="center"/>
          </w:tcPr>
          <w:p w14:paraId="0BC792D6">
            <w:pPr>
              <w:widowControl/>
              <w:jc w:val="center"/>
              <w:rPr>
                <w:rFonts w:hint="eastAsia" w:ascii="仿宋" w:hAnsi="仿宋" w:eastAsia="仿宋"/>
                <w:bCs/>
                <w:sz w:val="24"/>
              </w:rPr>
            </w:pPr>
            <w:r>
              <w:rPr>
                <w:rFonts w:hint="eastAsia" w:ascii="仿宋" w:hAnsi="仿宋" w:eastAsia="仿宋"/>
                <w:bCs/>
                <w:sz w:val="24"/>
              </w:rPr>
              <w:t>18</w:t>
            </w:r>
          </w:p>
        </w:tc>
        <w:tc>
          <w:tcPr>
            <w:tcW w:w="1514" w:type="dxa"/>
            <w:vAlign w:val="center"/>
          </w:tcPr>
          <w:p w14:paraId="0258C209">
            <w:pPr>
              <w:widowControl/>
              <w:jc w:val="center"/>
              <w:rPr>
                <w:rFonts w:hint="eastAsia" w:ascii="仿宋" w:hAnsi="仿宋" w:eastAsia="仿宋"/>
                <w:bCs/>
                <w:sz w:val="24"/>
              </w:rPr>
            </w:pPr>
            <w:r>
              <w:rPr>
                <w:rFonts w:hint="eastAsia" w:ascii="仿宋" w:hAnsi="仿宋" w:eastAsia="仿宋"/>
                <w:bCs/>
                <w:sz w:val="24"/>
              </w:rPr>
              <w:t>混合</w:t>
            </w:r>
          </w:p>
        </w:tc>
        <w:tc>
          <w:tcPr>
            <w:tcW w:w="1321" w:type="dxa"/>
            <w:vAlign w:val="center"/>
          </w:tcPr>
          <w:p w14:paraId="22187FC7">
            <w:pPr>
              <w:widowControl/>
              <w:jc w:val="center"/>
              <w:rPr>
                <w:rFonts w:hint="eastAsia" w:ascii="仿宋" w:hAnsi="仿宋" w:eastAsia="仿宋"/>
                <w:bCs/>
                <w:sz w:val="24"/>
              </w:rPr>
            </w:pPr>
            <w:r>
              <w:rPr>
                <w:rFonts w:hint="eastAsia" w:ascii="仿宋" w:hAnsi="仿宋" w:eastAsia="仿宋"/>
                <w:bCs/>
                <w:sz w:val="24"/>
              </w:rPr>
              <w:t>微专业二</w:t>
            </w:r>
          </w:p>
        </w:tc>
      </w:tr>
      <w:tr w14:paraId="19894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05" w:type="dxa"/>
            <w:tcBorders>
              <w:bottom w:val="single" w:color="auto" w:sz="4" w:space="0"/>
            </w:tcBorders>
            <w:vAlign w:val="center"/>
          </w:tcPr>
          <w:p w14:paraId="4095B58E">
            <w:pPr>
              <w:widowControl/>
              <w:jc w:val="center"/>
              <w:rPr>
                <w:rFonts w:hint="eastAsia" w:ascii="仿宋" w:hAnsi="仿宋" w:eastAsia="仿宋"/>
                <w:bCs/>
                <w:sz w:val="24"/>
              </w:rPr>
            </w:pPr>
          </w:p>
        </w:tc>
        <w:tc>
          <w:tcPr>
            <w:tcW w:w="2109" w:type="dxa"/>
            <w:gridSpan w:val="2"/>
            <w:tcBorders>
              <w:bottom w:val="single" w:color="auto" w:sz="4" w:space="0"/>
            </w:tcBorders>
            <w:vAlign w:val="center"/>
          </w:tcPr>
          <w:p w14:paraId="4A62EC04">
            <w:pPr>
              <w:widowControl/>
              <w:jc w:val="center"/>
              <w:rPr>
                <w:rFonts w:hint="eastAsia" w:ascii="仿宋" w:hAnsi="仿宋" w:eastAsia="仿宋"/>
                <w:bCs/>
                <w:sz w:val="24"/>
              </w:rPr>
            </w:pPr>
            <w:r>
              <w:rPr>
                <w:rFonts w:hint="eastAsia" w:ascii="仿宋" w:hAnsi="仿宋" w:eastAsia="仿宋"/>
                <w:bCs/>
                <w:sz w:val="24"/>
              </w:rPr>
              <w:t>合计</w:t>
            </w:r>
          </w:p>
        </w:tc>
        <w:tc>
          <w:tcPr>
            <w:tcW w:w="992" w:type="dxa"/>
            <w:tcBorders>
              <w:bottom w:val="single" w:color="auto" w:sz="4" w:space="0"/>
            </w:tcBorders>
            <w:vAlign w:val="center"/>
          </w:tcPr>
          <w:p w14:paraId="500530B7">
            <w:pPr>
              <w:widowControl/>
              <w:jc w:val="center"/>
              <w:rPr>
                <w:rFonts w:hint="eastAsia" w:ascii="仿宋" w:hAnsi="仿宋" w:eastAsia="仿宋"/>
                <w:bCs/>
                <w:sz w:val="24"/>
              </w:rPr>
            </w:pPr>
            <w:r>
              <w:rPr>
                <w:rFonts w:hint="eastAsia" w:ascii="仿宋" w:hAnsi="仿宋" w:eastAsia="仿宋"/>
                <w:bCs/>
                <w:sz w:val="24"/>
              </w:rPr>
              <w:t>10</w:t>
            </w:r>
          </w:p>
        </w:tc>
        <w:tc>
          <w:tcPr>
            <w:tcW w:w="992" w:type="dxa"/>
            <w:tcBorders>
              <w:bottom w:val="single" w:color="auto" w:sz="4" w:space="0"/>
            </w:tcBorders>
            <w:vAlign w:val="center"/>
          </w:tcPr>
          <w:p w14:paraId="722ABF75">
            <w:pPr>
              <w:widowControl/>
              <w:jc w:val="center"/>
              <w:rPr>
                <w:rFonts w:hint="eastAsia" w:ascii="仿宋" w:hAnsi="仿宋" w:eastAsia="仿宋"/>
                <w:bCs/>
                <w:sz w:val="24"/>
              </w:rPr>
            </w:pPr>
            <w:r>
              <w:rPr>
                <w:rFonts w:hint="eastAsia" w:ascii="仿宋" w:hAnsi="仿宋" w:eastAsia="仿宋"/>
                <w:bCs/>
                <w:sz w:val="24"/>
              </w:rPr>
              <w:t>160</w:t>
            </w:r>
          </w:p>
        </w:tc>
        <w:tc>
          <w:tcPr>
            <w:tcW w:w="851" w:type="dxa"/>
            <w:tcBorders>
              <w:bottom w:val="single" w:color="auto" w:sz="4" w:space="0"/>
            </w:tcBorders>
            <w:vAlign w:val="center"/>
          </w:tcPr>
          <w:p w14:paraId="6CFFE9AE">
            <w:pPr>
              <w:widowControl/>
              <w:jc w:val="center"/>
              <w:rPr>
                <w:rFonts w:hint="eastAsia" w:ascii="仿宋" w:hAnsi="仿宋" w:eastAsia="仿宋"/>
                <w:bCs/>
                <w:sz w:val="24"/>
              </w:rPr>
            </w:pPr>
            <w:r>
              <w:rPr>
                <w:rFonts w:hint="eastAsia" w:ascii="仿宋" w:hAnsi="仿宋" w:eastAsia="仿宋"/>
                <w:bCs/>
                <w:sz w:val="24"/>
              </w:rPr>
              <w:t>112</w:t>
            </w:r>
          </w:p>
        </w:tc>
        <w:tc>
          <w:tcPr>
            <w:tcW w:w="992" w:type="dxa"/>
            <w:tcBorders>
              <w:bottom w:val="single" w:color="auto" w:sz="4" w:space="0"/>
            </w:tcBorders>
            <w:vAlign w:val="center"/>
          </w:tcPr>
          <w:p w14:paraId="30B4B3EB">
            <w:pPr>
              <w:widowControl/>
              <w:jc w:val="center"/>
              <w:rPr>
                <w:rFonts w:hint="eastAsia" w:ascii="仿宋" w:hAnsi="仿宋" w:eastAsia="仿宋"/>
                <w:bCs/>
                <w:sz w:val="24"/>
              </w:rPr>
            </w:pPr>
            <w:r>
              <w:rPr>
                <w:rFonts w:hint="eastAsia" w:ascii="仿宋" w:hAnsi="仿宋" w:eastAsia="仿宋"/>
                <w:bCs/>
                <w:sz w:val="24"/>
              </w:rPr>
              <w:t>48</w:t>
            </w:r>
          </w:p>
        </w:tc>
        <w:tc>
          <w:tcPr>
            <w:tcW w:w="1514" w:type="dxa"/>
            <w:tcBorders>
              <w:bottom w:val="single" w:color="auto" w:sz="4" w:space="0"/>
            </w:tcBorders>
            <w:vAlign w:val="center"/>
          </w:tcPr>
          <w:p w14:paraId="1F671404">
            <w:pPr>
              <w:widowControl/>
              <w:jc w:val="center"/>
              <w:rPr>
                <w:rFonts w:hint="eastAsia" w:ascii="仿宋" w:hAnsi="仿宋" w:eastAsia="仿宋"/>
                <w:bCs/>
                <w:sz w:val="24"/>
              </w:rPr>
            </w:pPr>
          </w:p>
        </w:tc>
        <w:tc>
          <w:tcPr>
            <w:tcW w:w="1321" w:type="dxa"/>
            <w:tcBorders>
              <w:bottom w:val="single" w:color="auto" w:sz="4" w:space="0"/>
            </w:tcBorders>
            <w:vAlign w:val="center"/>
          </w:tcPr>
          <w:p w14:paraId="5077A888">
            <w:pPr>
              <w:widowControl/>
              <w:jc w:val="center"/>
              <w:rPr>
                <w:rFonts w:hint="eastAsia" w:ascii="仿宋" w:hAnsi="仿宋" w:eastAsia="仿宋"/>
                <w:bCs/>
                <w:sz w:val="24"/>
                <w:highlight w:val="yellow"/>
              </w:rPr>
            </w:pPr>
          </w:p>
        </w:tc>
      </w:tr>
      <w:tr w14:paraId="2751F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2" w:hRule="atLeast"/>
          <w:jc w:val="center"/>
        </w:trPr>
        <w:tc>
          <w:tcPr>
            <w:tcW w:w="1696" w:type="dxa"/>
            <w:gridSpan w:val="2"/>
            <w:vMerge w:val="restart"/>
            <w:tcBorders>
              <w:top w:val="single" w:color="auto" w:sz="4" w:space="0"/>
            </w:tcBorders>
            <w:vAlign w:val="center"/>
          </w:tcPr>
          <w:p w14:paraId="41EB594D">
            <w:pPr>
              <w:widowControl/>
              <w:jc w:val="center"/>
              <w:rPr>
                <w:rFonts w:hint="eastAsia" w:ascii="仿宋" w:hAnsi="仿宋" w:eastAsia="仿宋"/>
                <w:b/>
                <w:spacing w:val="20"/>
                <w:sz w:val="24"/>
              </w:rPr>
            </w:pPr>
            <w:bookmarkStart w:id="0" w:name="_GoBack" w:colFirst="0" w:colLast="1"/>
            <w:r>
              <w:rPr>
                <w:rFonts w:hint="eastAsia" w:ascii="仿宋" w:hAnsi="仿宋" w:eastAsia="仿宋"/>
                <w:b/>
                <w:spacing w:val="20"/>
                <w:sz w:val="24"/>
              </w:rPr>
              <w:t>课程</w:t>
            </w:r>
          </w:p>
          <w:p w14:paraId="7CCDB01E">
            <w:pPr>
              <w:widowControl/>
              <w:jc w:val="center"/>
              <w:rPr>
                <w:rFonts w:hint="eastAsia" w:ascii="仿宋" w:hAnsi="仿宋" w:eastAsia="仿宋"/>
                <w:b/>
                <w:spacing w:val="20"/>
                <w:sz w:val="24"/>
              </w:rPr>
            </w:pPr>
            <w:r>
              <w:rPr>
                <w:rFonts w:hint="eastAsia" w:ascii="仿宋" w:hAnsi="仿宋" w:eastAsia="仿宋"/>
                <w:b/>
                <w:spacing w:val="20"/>
                <w:sz w:val="24"/>
              </w:rPr>
              <w:t>简介</w:t>
            </w:r>
          </w:p>
        </w:tc>
        <w:tc>
          <w:tcPr>
            <w:tcW w:w="8080" w:type="dxa"/>
            <w:gridSpan w:val="7"/>
            <w:tcBorders>
              <w:top w:val="single" w:color="auto" w:sz="4" w:space="0"/>
            </w:tcBorders>
          </w:tcPr>
          <w:p w14:paraId="79EA643C">
            <w:pPr>
              <w:widowControl/>
              <w:rPr>
                <w:rFonts w:hint="eastAsia" w:ascii="仿宋" w:hAnsi="仿宋" w:eastAsia="仿宋"/>
                <w:b/>
                <w:sz w:val="24"/>
              </w:rPr>
            </w:pPr>
            <w:r>
              <w:rPr>
                <w:rFonts w:hint="eastAsia" w:ascii="仿宋" w:hAnsi="仿宋" w:eastAsia="仿宋"/>
                <w:b/>
                <w:sz w:val="24"/>
              </w:rPr>
              <w:t>课程1：集成电路导论</w:t>
            </w:r>
          </w:p>
          <w:p w14:paraId="30143D05">
            <w:pPr>
              <w:widowControl/>
              <w:spacing w:line="360" w:lineRule="auto"/>
              <w:rPr>
                <w:rFonts w:hint="eastAsia" w:ascii="仿宋" w:hAnsi="仿宋" w:eastAsia="仿宋"/>
                <w:b/>
                <w:sz w:val="24"/>
              </w:rPr>
            </w:pPr>
            <w:r>
              <w:rPr>
                <w:rFonts w:hint="eastAsia" w:ascii="仿宋" w:hAnsi="仿宋" w:eastAsia="仿宋"/>
                <w:bCs/>
                <w:sz w:val="24"/>
              </w:rPr>
              <w:t>本课程系统介绍集成电路从设计、制造到封装测试的全流程技术体系。课程涵盖：集成电路发展历程与基本概念；数字与模拟集成电路设计方法、设计流程与设计抽象层次；关键制造工艺，包括氧化、光刻、刻蚀、离子注入、薄膜沉积等核心步骤；以及芯片封装与测试技术。同时介绍CMOS工艺特点、栅极结构演变、摩尔定律及后摩尔时代发展趋势。通过本课程的学习，学生将建立集成电路的完整知识框架，理解“设计—制造—封装—测试”各环节的相互关系，为后续从事电子信息、计算机等相关领域工作奠定基础</w:t>
            </w:r>
          </w:p>
          <w:p w14:paraId="1375BFF6">
            <w:pPr>
              <w:widowControl/>
              <w:rPr>
                <w:rFonts w:hint="eastAsia" w:ascii="仿宋" w:hAnsi="仿宋" w:eastAsia="仿宋"/>
                <w:bCs/>
                <w:sz w:val="24"/>
              </w:rPr>
            </w:pPr>
          </w:p>
        </w:tc>
      </w:tr>
      <w:bookmarkEnd w:id="0"/>
      <w:tr w14:paraId="72D88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96" w:type="dxa"/>
            <w:gridSpan w:val="2"/>
            <w:vMerge w:val="continue"/>
            <w:tcBorders/>
            <w:vAlign w:val="center"/>
          </w:tcPr>
          <w:p w14:paraId="0F7186B8">
            <w:pPr>
              <w:widowControl/>
              <w:jc w:val="center"/>
              <w:rPr>
                <w:rFonts w:hint="eastAsia" w:ascii="仿宋" w:hAnsi="仿宋" w:eastAsia="仿宋"/>
                <w:bCs/>
                <w:sz w:val="24"/>
              </w:rPr>
            </w:pPr>
          </w:p>
        </w:tc>
        <w:tc>
          <w:tcPr>
            <w:tcW w:w="8080" w:type="dxa"/>
            <w:gridSpan w:val="7"/>
          </w:tcPr>
          <w:p w14:paraId="114A0196">
            <w:pPr>
              <w:widowControl/>
              <w:rPr>
                <w:rFonts w:hint="eastAsia" w:ascii="仿宋" w:hAnsi="仿宋" w:eastAsia="仿宋"/>
                <w:b/>
                <w:sz w:val="24"/>
              </w:rPr>
            </w:pPr>
            <w:r>
              <w:rPr>
                <w:rFonts w:hint="eastAsia" w:ascii="仿宋" w:hAnsi="仿宋" w:eastAsia="仿宋"/>
                <w:b/>
                <w:sz w:val="24"/>
              </w:rPr>
              <w:t>课程1：集成电路装备概论</w:t>
            </w:r>
          </w:p>
          <w:p w14:paraId="5F2B8892">
            <w:pPr>
              <w:widowControl/>
              <w:spacing w:line="360" w:lineRule="auto"/>
              <w:rPr>
                <w:rFonts w:hint="eastAsia" w:ascii="仿宋" w:hAnsi="仿宋" w:eastAsia="仿宋"/>
                <w:bCs/>
                <w:sz w:val="24"/>
              </w:rPr>
            </w:pPr>
            <w:r>
              <w:rPr>
                <w:rFonts w:hint="eastAsia" w:ascii="仿宋" w:hAnsi="仿宋" w:eastAsia="仿宋"/>
                <w:bCs/>
                <w:sz w:val="24"/>
              </w:rPr>
              <w:t>本课程系统介绍集成电路制造与封测环节的核心装备，旨在帮助学生建立对集成电路装备体系的基础认知。课程内容涵盖前道制造设备（如光刻机、刻蚀机、薄膜沉积设备、离子注入机、清洗设备等）以及后道封测设备（如键合机、封装机、自动测试设备等）的工作原理、结构组成与发展趋势。通过结合产业发展历程与技术挑战，课程将重点分析关键装备在先进制程和先进封装中的应用，并介绍国内外市场格局与自主化进展。本课程可为后续从事集成电路相关领域工作如设备工程师、工艺工程师等奠定设备基础知识。</w:t>
            </w:r>
          </w:p>
          <w:p w14:paraId="242321E8">
            <w:pPr>
              <w:widowControl/>
              <w:rPr>
                <w:rFonts w:hint="eastAsia" w:ascii="仿宋" w:hAnsi="仿宋" w:eastAsia="仿宋"/>
                <w:b/>
                <w:sz w:val="24"/>
              </w:rPr>
            </w:pPr>
          </w:p>
        </w:tc>
      </w:tr>
      <w:tr w14:paraId="58B5E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2" w:hRule="atLeast"/>
          <w:jc w:val="center"/>
        </w:trPr>
        <w:tc>
          <w:tcPr>
            <w:tcW w:w="1696" w:type="dxa"/>
            <w:gridSpan w:val="2"/>
            <w:vMerge w:val="continue"/>
            <w:tcBorders/>
            <w:vAlign w:val="center"/>
          </w:tcPr>
          <w:p w14:paraId="7776ABF4">
            <w:pPr>
              <w:widowControl/>
              <w:jc w:val="center"/>
              <w:rPr>
                <w:rFonts w:hint="eastAsia" w:ascii="仿宋" w:hAnsi="仿宋" w:eastAsia="仿宋"/>
                <w:bCs/>
                <w:sz w:val="24"/>
              </w:rPr>
            </w:pPr>
          </w:p>
        </w:tc>
        <w:tc>
          <w:tcPr>
            <w:tcW w:w="8080" w:type="dxa"/>
            <w:gridSpan w:val="7"/>
          </w:tcPr>
          <w:p w14:paraId="1EAF9F5C">
            <w:pPr>
              <w:widowControl/>
              <w:rPr>
                <w:rFonts w:hint="eastAsia" w:ascii="仿宋" w:hAnsi="仿宋" w:eastAsia="仿宋"/>
                <w:b/>
                <w:sz w:val="24"/>
              </w:rPr>
            </w:pPr>
            <w:r>
              <w:rPr>
                <w:rFonts w:hint="eastAsia" w:ascii="仿宋" w:hAnsi="仿宋" w:eastAsia="仿宋"/>
                <w:b/>
                <w:sz w:val="24"/>
              </w:rPr>
              <w:t>课程2：</w:t>
            </w:r>
            <w:r>
              <w:rPr>
                <w:rFonts w:hint="eastAsia" w:ascii="仿宋" w:hAnsi="仿宋" w:eastAsia="仿宋" w:cs="Arial"/>
                <w:b/>
                <w:bCs/>
                <w:color w:val="000000"/>
                <w:sz w:val="24"/>
              </w:rPr>
              <w:t>精密定位与建模基础</w:t>
            </w:r>
          </w:p>
          <w:p w14:paraId="52815FAB">
            <w:pPr>
              <w:widowControl/>
              <w:spacing w:line="360" w:lineRule="auto"/>
              <w:rPr>
                <w:rFonts w:hint="eastAsia" w:ascii="仿宋" w:hAnsi="仿宋" w:eastAsia="仿宋"/>
                <w:b/>
                <w:sz w:val="24"/>
              </w:rPr>
            </w:pPr>
            <w:r>
              <w:rPr>
                <w:rFonts w:hint="eastAsia" w:ascii="仿宋" w:hAnsi="仿宋" w:eastAsia="仿宋"/>
                <w:bCs/>
                <w:sz w:val="24"/>
              </w:rPr>
              <w:t>本课程为精密机械设计与系统应用开发及调试两类岗位建立精密工程的共同语言与工具基础。对应方向1：讲授精密定位系统组成架构与精度指标体系（定位精度、重复定位、阿贝误差、直线度），建立误差预算概念；讲授Creo/SolidWorks参数化建模规范与精密零件工程图表达，使学生具备基础三维建模能力；讲授精密机械加工工艺窗口与电机/光栅元件的机械接口认知。对应方向2：讲授传感器分类原理与选型逻辑、电工电子技术在精密测量链路中的基础应用。</w:t>
            </w:r>
          </w:p>
          <w:p w14:paraId="483FF564">
            <w:pPr>
              <w:widowControl/>
              <w:rPr>
                <w:rFonts w:hint="eastAsia" w:ascii="仿宋" w:hAnsi="仿宋" w:eastAsia="仿宋"/>
                <w:b/>
                <w:sz w:val="24"/>
              </w:rPr>
            </w:pPr>
          </w:p>
        </w:tc>
      </w:tr>
      <w:tr w14:paraId="1C3E8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1696" w:type="dxa"/>
            <w:gridSpan w:val="2"/>
            <w:vMerge w:val="continue"/>
            <w:tcBorders/>
            <w:vAlign w:val="center"/>
          </w:tcPr>
          <w:p w14:paraId="55960110">
            <w:pPr>
              <w:widowControl/>
              <w:jc w:val="center"/>
              <w:rPr>
                <w:rFonts w:hint="eastAsia" w:ascii="仿宋" w:hAnsi="仿宋" w:eastAsia="仿宋"/>
                <w:bCs/>
                <w:sz w:val="24"/>
              </w:rPr>
            </w:pPr>
          </w:p>
        </w:tc>
        <w:tc>
          <w:tcPr>
            <w:tcW w:w="8080" w:type="dxa"/>
            <w:gridSpan w:val="7"/>
          </w:tcPr>
          <w:p w14:paraId="76B3B7EC">
            <w:pPr>
              <w:widowControl/>
              <w:rPr>
                <w:rFonts w:hint="eastAsia" w:ascii="仿宋" w:hAnsi="仿宋" w:eastAsia="仿宋"/>
                <w:b/>
                <w:sz w:val="24"/>
              </w:rPr>
            </w:pPr>
            <w:r>
              <w:rPr>
                <w:rFonts w:hint="eastAsia" w:ascii="仿宋" w:hAnsi="仿宋" w:eastAsia="仿宋"/>
                <w:b/>
                <w:sz w:val="24"/>
              </w:rPr>
              <w:t>课程3：</w:t>
            </w:r>
            <w:r>
              <w:rPr>
                <w:rFonts w:hint="eastAsia" w:ascii="仿宋" w:hAnsi="仿宋" w:eastAsia="仿宋" w:cs="Arial"/>
                <w:b/>
                <w:bCs/>
                <w:color w:val="000000"/>
                <w:sz w:val="24"/>
              </w:rPr>
              <w:t>精密机械设计与装调工艺</w:t>
            </w:r>
          </w:p>
          <w:p w14:paraId="67A3D543">
            <w:pPr>
              <w:widowControl/>
              <w:spacing w:line="360" w:lineRule="auto"/>
              <w:rPr>
                <w:rFonts w:hint="eastAsia" w:ascii="仿宋" w:hAnsi="仿宋" w:eastAsia="仿宋"/>
                <w:bCs/>
                <w:sz w:val="24"/>
              </w:rPr>
            </w:pPr>
            <w:r>
              <w:rPr>
                <w:rFonts w:hint="eastAsia" w:ascii="仿宋" w:hAnsi="仿宋" w:eastAsia="仿宋"/>
                <w:bCs/>
                <w:sz w:val="24"/>
              </w:rPr>
              <w:t>本课程面向精密机械设计方向的5个技能模块做深度建构。在"系统组成指标"模块，深入讲授结构拓扑设计（气浮/滚珠导轨选型、叠层解耦）、误差预算分配与刚度-精度耦合分析；在"测量仪器"模块，系统讲授激光干涉仪、电子水平仪、自准直仪的原理与操作方法，培养学生独立完成几何精度检测与数据处理能力；在"电机与光栅"模块，从机械设计者视角讲授安装基准、阿贝原则、热特性接口与防护设计；在"加工工艺"模块，深入讲授精密磨削/研磨/抛光的精度边界、应力释放与时效稳定；在"3D建模"模块，通过课程设计项目综合应用建模工具完成精密平台方案设计。</w:t>
            </w:r>
          </w:p>
          <w:p w14:paraId="13396759">
            <w:pPr>
              <w:widowControl/>
              <w:spacing w:line="360" w:lineRule="auto"/>
              <w:rPr>
                <w:rFonts w:hint="eastAsia" w:ascii="仿宋" w:hAnsi="仿宋" w:eastAsia="仿宋"/>
                <w:bCs/>
                <w:sz w:val="24"/>
              </w:rPr>
            </w:pPr>
          </w:p>
        </w:tc>
      </w:tr>
      <w:tr w14:paraId="6199F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1696" w:type="dxa"/>
            <w:gridSpan w:val="2"/>
            <w:vMerge w:val="continue"/>
            <w:tcBorders/>
            <w:vAlign w:val="center"/>
          </w:tcPr>
          <w:p w14:paraId="269D7223">
            <w:pPr>
              <w:widowControl/>
              <w:jc w:val="center"/>
              <w:rPr>
                <w:rFonts w:hint="eastAsia" w:ascii="仿宋" w:hAnsi="仿宋" w:eastAsia="仿宋"/>
                <w:bCs/>
                <w:sz w:val="24"/>
              </w:rPr>
            </w:pPr>
          </w:p>
        </w:tc>
        <w:tc>
          <w:tcPr>
            <w:tcW w:w="8080" w:type="dxa"/>
            <w:gridSpan w:val="7"/>
          </w:tcPr>
          <w:p w14:paraId="013061F7">
            <w:pPr>
              <w:widowControl/>
              <w:rPr>
                <w:rFonts w:hint="eastAsia" w:ascii="仿宋" w:hAnsi="仿宋" w:eastAsia="仿宋"/>
                <w:b/>
                <w:sz w:val="24"/>
              </w:rPr>
            </w:pPr>
            <w:r>
              <w:rPr>
                <w:rFonts w:hint="eastAsia" w:ascii="仿宋" w:hAnsi="仿宋" w:eastAsia="仿宋"/>
                <w:b/>
                <w:sz w:val="24"/>
              </w:rPr>
              <w:t>课程4：</w:t>
            </w:r>
            <w:r>
              <w:rPr>
                <w:rFonts w:hint="eastAsia" w:ascii="仿宋" w:hAnsi="仿宋" w:eastAsia="仿宋" w:cs="Arial"/>
                <w:b/>
                <w:bCs/>
                <w:color w:val="000000"/>
                <w:sz w:val="24"/>
              </w:rPr>
              <w:t>精密运动控制与MATLAB仿真</w:t>
            </w:r>
          </w:p>
          <w:p w14:paraId="382AEB84">
            <w:pPr>
              <w:widowControl/>
              <w:spacing w:line="360" w:lineRule="auto"/>
              <w:rPr>
                <w:rFonts w:hint="eastAsia" w:ascii="仿宋" w:hAnsi="仿宋" w:eastAsia="仿宋"/>
                <w:bCs/>
                <w:sz w:val="24"/>
              </w:rPr>
            </w:pPr>
            <w:r>
              <w:rPr>
                <w:rFonts w:hint="eastAsia" w:ascii="仿宋" w:hAnsi="仿宋" w:eastAsia="仿宋"/>
                <w:bCs/>
                <w:sz w:val="24"/>
              </w:rPr>
              <w:t>本课程完整覆盖系统应用开发及调试方向的5个技能模块。讲授传感器原理（光栅尺、电容/电涡流传感器、激光干涉仪的传感机理与分辨率选型）；讲授电工电子技术基础（运放信号调理、滤波、电源接地、EMC与屏蔽）；讲授电机拖动与控制（伺服/直线/音圈电机特性、PWM与H桥驱动、驱动器三环控制、惯量匹配）；讲授控制理论（传递函数、PID整定、伯德图与频响分析、稳定性判据）；讲授基于MATLAB/Simulink的运动控制器建模、轨迹规划、前馈控制与参数优化仿真。</w:t>
            </w:r>
          </w:p>
        </w:tc>
      </w:tr>
    </w:tbl>
    <w:p w14:paraId="5AB296F6"/>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B529D30"/>
    <w:multiLevelType w:val="singleLevel"/>
    <w:tmpl w:val="1B529D30"/>
    <w:lvl w:ilvl="0" w:tentative="0">
      <w:start w:val="5"/>
      <w:numFmt w:val="chineseCounting"/>
      <w:suff w:val="nothing"/>
      <w:lvlText w:val="%1、"/>
      <w:lvlJc w:val="left"/>
      <w:rPr>
        <w:rFonts w:hint="eastAsia"/>
      </w:rPr>
    </w:lvl>
  </w:abstractNum>
  <w:abstractNum w:abstractNumId="1">
    <w:nsid w:val="7644C492"/>
    <w:multiLevelType w:val="singleLevel"/>
    <w:tmpl w:val="7644C492"/>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TrackMove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65314"/>
    <w:rsid w:val="00071467"/>
    <w:rsid w:val="00085D48"/>
    <w:rsid w:val="000D5ADE"/>
    <w:rsid w:val="00104107"/>
    <w:rsid w:val="001055BA"/>
    <w:rsid w:val="00184586"/>
    <w:rsid w:val="001D57F9"/>
    <w:rsid w:val="001E685D"/>
    <w:rsid w:val="0021689A"/>
    <w:rsid w:val="00365314"/>
    <w:rsid w:val="00381C1D"/>
    <w:rsid w:val="003D0D57"/>
    <w:rsid w:val="0044267E"/>
    <w:rsid w:val="004B0937"/>
    <w:rsid w:val="00542042"/>
    <w:rsid w:val="005C7A1F"/>
    <w:rsid w:val="005F3D0C"/>
    <w:rsid w:val="00645D2A"/>
    <w:rsid w:val="00686B11"/>
    <w:rsid w:val="006B7F8F"/>
    <w:rsid w:val="007A1E0F"/>
    <w:rsid w:val="007E6B6D"/>
    <w:rsid w:val="0085471B"/>
    <w:rsid w:val="00856386"/>
    <w:rsid w:val="008B1FAD"/>
    <w:rsid w:val="00970486"/>
    <w:rsid w:val="00A87317"/>
    <w:rsid w:val="00B215EF"/>
    <w:rsid w:val="00C675A6"/>
    <w:rsid w:val="00C87050"/>
    <w:rsid w:val="00C92B50"/>
    <w:rsid w:val="00CB4492"/>
    <w:rsid w:val="00DE4435"/>
    <w:rsid w:val="00E04D38"/>
    <w:rsid w:val="00E82F09"/>
    <w:rsid w:val="00EA74E9"/>
    <w:rsid w:val="00F0214D"/>
    <w:rsid w:val="00FF20A9"/>
    <w:rsid w:val="01FA725A"/>
    <w:rsid w:val="021825CD"/>
    <w:rsid w:val="0451437E"/>
    <w:rsid w:val="05D10C92"/>
    <w:rsid w:val="05F36332"/>
    <w:rsid w:val="09176263"/>
    <w:rsid w:val="09D65431"/>
    <w:rsid w:val="0F322B8F"/>
    <w:rsid w:val="14D507B4"/>
    <w:rsid w:val="14E66DDD"/>
    <w:rsid w:val="17964040"/>
    <w:rsid w:val="1A202D48"/>
    <w:rsid w:val="250005FC"/>
    <w:rsid w:val="297466E5"/>
    <w:rsid w:val="2A5A37DD"/>
    <w:rsid w:val="320B6C77"/>
    <w:rsid w:val="324A2389"/>
    <w:rsid w:val="34CB7A56"/>
    <w:rsid w:val="38253449"/>
    <w:rsid w:val="3AAF73C9"/>
    <w:rsid w:val="459C59F0"/>
    <w:rsid w:val="4BBD76FF"/>
    <w:rsid w:val="4EC05A55"/>
    <w:rsid w:val="52437C53"/>
    <w:rsid w:val="5C3D2493"/>
    <w:rsid w:val="5DEB5800"/>
    <w:rsid w:val="5E4C248A"/>
    <w:rsid w:val="61DA69D6"/>
    <w:rsid w:val="62DB2A06"/>
    <w:rsid w:val="66BC45F1"/>
    <w:rsid w:val="66E54F13"/>
    <w:rsid w:val="69A71B6D"/>
    <w:rsid w:val="6A2900F3"/>
    <w:rsid w:val="6B06117A"/>
    <w:rsid w:val="747848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link w:val="10"/>
    <w:uiPriority w:val="0"/>
    <w:pPr>
      <w:tabs>
        <w:tab w:val="center" w:pos="4320"/>
        <w:tab w:val="right" w:pos="8640"/>
      </w:tabs>
    </w:pPr>
  </w:style>
  <w:style w:type="paragraph" w:styleId="3">
    <w:name w:val="header"/>
    <w:basedOn w:val="1"/>
    <w:link w:val="9"/>
    <w:uiPriority w:val="0"/>
    <w:pPr>
      <w:tabs>
        <w:tab w:val="center" w:pos="4320"/>
        <w:tab w:val="right" w:pos="8640"/>
      </w:tabs>
    </w:pPr>
  </w:style>
  <w:style w:type="paragraph" w:styleId="4">
    <w:name w:val="Normal (Web)"/>
    <w:basedOn w:val="1"/>
    <w:qFormat/>
    <w:uiPriority w:val="0"/>
    <w:pPr>
      <w:spacing w:before="100" w:beforeAutospacing="1" w:after="100" w:afterAutospacing="1"/>
      <w:jc w:val="left"/>
    </w:pPr>
    <w:rPr>
      <w:kern w:val="0"/>
      <w:sz w:val="24"/>
    </w:rPr>
  </w:style>
  <w:style w:type="character" w:styleId="7">
    <w:name w:val="Strong"/>
    <w:qFormat/>
    <w:uiPriority w:val="0"/>
    <w:rPr>
      <w:b/>
    </w:rPr>
  </w:style>
  <w:style w:type="character" w:styleId="8">
    <w:name w:val="Hyperlink"/>
    <w:uiPriority w:val="0"/>
    <w:rPr>
      <w:color w:val="0000FF"/>
      <w:u w:val="single"/>
    </w:rPr>
  </w:style>
  <w:style w:type="character" w:customStyle="1" w:styleId="9">
    <w:name w:val="页眉 字符"/>
    <w:link w:val="3"/>
    <w:qFormat/>
    <w:uiPriority w:val="0"/>
    <w:rPr>
      <w:rFonts w:ascii="Calibri" w:hAnsi="Calibri"/>
      <w:kern w:val="2"/>
      <w:sz w:val="21"/>
      <w:szCs w:val="24"/>
    </w:rPr>
  </w:style>
  <w:style w:type="character" w:customStyle="1" w:styleId="10">
    <w:name w:val="页脚 字符"/>
    <w:link w:val="2"/>
    <w:qFormat/>
    <w:uiPriority w:val="0"/>
    <w:rPr>
      <w:rFonts w:ascii="Calibri" w:hAnsi="Calibri"/>
      <w:kern w:val="2"/>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2703</Words>
  <Characters>2857</Characters>
  <Lines>103</Lines>
  <Paragraphs>98</Paragraphs>
  <TotalTime>80</TotalTime>
  <ScaleCrop>false</ScaleCrop>
  <LinksUpToDate>false</LinksUpToDate>
  <CharactersWithSpaces>2874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2026-06-06T05:32:00Z</dcterms:created>
  <dc:creator>HP</dc:creator>
  <cp:lastModifiedBy>头发乱了</cp:lastModifiedBy>
  <dcterms:modified xsi:type="dcterms:W3CDTF">2026-09-09T02:09:11Z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eyJoZGlkIjoiNDAwYmZjNGE1NWEzMmU1ZTQ0NWRjZDk4YzVkMGI3NzQiLCJ1c2VySWQiOiIyODQyNDUzOTkifQ==</vt:lpwstr>
  </property>
  <property fmtid="{D5CDD505-2E9C-101B-9397-08002B2CF9AE}" pid="4" name="ICV">
    <vt:lpwstr>C3E6D03531834A30ACDCDCA0A1DE70F8_12</vt:lpwstr>
  </property>
</Properties>
</file>